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b/>
          <w:bCs/>
          <w:highlight w:val="none"/>
        </w:rPr>
      </w:pPr>
    </w:p>
    <w:p>
      <w:pPr>
        <w:bidi w:val="0"/>
        <w:jc w:val="center"/>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杭银理财幸福99</w:t>
      </w:r>
      <w:r>
        <w:rPr>
          <w:rFonts w:hint="eastAsia" w:ascii="宋体" w:hAnsi="宋体" w:cs="宋体"/>
          <w:b/>
          <w:bCs/>
          <w:sz w:val="44"/>
          <w:szCs w:val="44"/>
          <w:highlight w:val="none"/>
          <w:lang w:eastAsia="zh-CN"/>
        </w:rPr>
        <w:t>添益(安享优选)28天持有期理财</w:t>
      </w:r>
      <w:r>
        <w:rPr>
          <w:rFonts w:hint="eastAsia" w:ascii="宋体" w:hAnsi="宋体" w:eastAsia="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理财计划托管人：杭州银行股份有限公司</w:t>
      </w: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pStyle w:val="2"/>
        <w:bidi w:val="0"/>
        <w:rPr>
          <w:rFonts w:hint="eastAsia" w:ascii="宋体" w:hAnsi="宋体" w:eastAsia="宋体" w:cs="宋体"/>
          <w:b/>
          <w:bCs/>
          <w:sz w:val="44"/>
          <w:szCs w:val="44"/>
          <w:highlight w:val="none"/>
          <w:lang w:val="en-US" w:eastAsia="zh-CN"/>
        </w:rPr>
      </w:pPr>
      <w:r>
        <w:rPr>
          <w:rFonts w:hint="eastAsia" w:ascii="宋体" w:hAnsi="宋体" w:eastAsia="宋体" w:cs="宋体"/>
          <w:b/>
          <w:bCs/>
          <w:sz w:val="44"/>
          <w:szCs w:val="44"/>
          <w:highlight w:val="none"/>
        </w:rPr>
        <w:t>杭银理财幸福99</w:t>
      </w:r>
      <w:r>
        <w:rPr>
          <w:rFonts w:hint="eastAsia" w:ascii="宋体" w:hAnsi="宋体" w:cs="宋体"/>
          <w:b/>
          <w:bCs/>
          <w:sz w:val="44"/>
          <w:szCs w:val="44"/>
          <w:highlight w:val="none"/>
          <w:lang w:eastAsia="zh-CN"/>
        </w:rPr>
        <w:t>添益(安享优选)28天持有期理财</w:t>
      </w:r>
      <w:r>
        <w:rPr>
          <w:rFonts w:hint="eastAsia" w:ascii="宋体" w:hAnsi="宋体" w:eastAsia="宋体" w:cs="宋体"/>
          <w:b/>
          <w:bCs/>
          <w:sz w:val="44"/>
          <w:szCs w:val="44"/>
          <w:highlight w:val="none"/>
          <w:lang w:val="en-US" w:eastAsia="zh-CN"/>
        </w:rPr>
        <w:t>合同文件</w:t>
      </w:r>
    </w:p>
    <w:p>
      <w:pPr>
        <w:jc w:val="both"/>
        <w:rPr>
          <w:rFonts w:hint="eastAsia" w:ascii="宋体" w:hAnsi="宋体" w:cs="宋体"/>
          <w:sz w:val="44"/>
          <w:szCs w:val="44"/>
          <w:highlight w:val="none"/>
          <w:lang w:val="en-US" w:eastAsia="zh-CN"/>
        </w:rPr>
      </w:pPr>
    </w:p>
    <w:p>
      <w:pPr>
        <w:jc w:val="center"/>
        <w:rPr>
          <w:rFonts w:hint="eastAsia" w:ascii="宋体" w:hAnsi="宋体" w:cs="宋体"/>
          <w:sz w:val="44"/>
          <w:szCs w:val="44"/>
          <w:highlight w:val="none"/>
          <w:lang w:val="en-US" w:eastAsia="zh-CN"/>
        </w:rPr>
      </w:pPr>
    </w:p>
    <w:p>
      <w:pPr>
        <w:jc w:val="center"/>
        <w:rPr>
          <w:rFonts w:hint="eastAsia" w:ascii="宋体" w:hAnsi="宋体" w:cs="宋体"/>
          <w:sz w:val="44"/>
          <w:szCs w:val="44"/>
          <w:highlight w:val="none"/>
          <w:lang w:val="en-US" w:eastAsia="zh-CN"/>
        </w:rPr>
      </w:pPr>
    </w:p>
    <w:tbl>
      <w:tblPr>
        <w:tblStyle w:val="12"/>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hint="eastAsia" w:ascii="宋体" w:hAnsi="宋体" w:cs="宋体"/>
                <w:sz w:val="21"/>
                <w:szCs w:val="21"/>
                <w:highlight w:val="none"/>
                <w:vertAlign w:val="baseline"/>
                <w:lang w:val="en-US" w:eastAsia="zh-CN"/>
              </w:rPr>
            </w:pPr>
            <w:r>
              <w:rPr>
                <w:rFonts w:hint="eastAsia" w:ascii="宋体" w:hAnsi="宋体" w:cs="宋体"/>
                <w:b/>
                <w:bCs/>
                <w:sz w:val="21"/>
                <w:szCs w:val="21"/>
                <w:highlight w:val="none"/>
                <w:vertAlign w:val="baseline"/>
                <w:lang w:val="en-US" w:eastAsia="zh-CN"/>
              </w:rPr>
              <w:t>序号</w:t>
            </w:r>
          </w:p>
        </w:tc>
        <w:tc>
          <w:tcPr>
            <w:tcW w:w="5160" w:type="dxa"/>
            <w:noWrap w:val="0"/>
            <w:vAlign w:val="center"/>
          </w:tcPr>
          <w:p>
            <w:pPr>
              <w:spacing w:line="360" w:lineRule="auto"/>
              <w:jc w:val="center"/>
              <w:rPr>
                <w:rFonts w:hint="eastAsia" w:ascii="宋体" w:hAnsi="宋体" w:cs="宋体"/>
                <w:sz w:val="21"/>
                <w:szCs w:val="21"/>
                <w:highlight w:val="none"/>
                <w:vertAlign w:val="baseline"/>
                <w:lang w:val="en-US" w:eastAsia="zh-CN"/>
              </w:rPr>
            </w:pPr>
            <w:r>
              <w:rPr>
                <w:rFonts w:hint="eastAsia" w:ascii="宋体" w:hAnsi="宋体" w:cs="宋体"/>
                <w:b/>
                <w:bCs/>
                <w:sz w:val="21"/>
                <w:szCs w:val="21"/>
                <w:highlight w:val="none"/>
                <w:vertAlign w:val="baseline"/>
                <w:lang w:val="en-US" w:eastAsia="zh-CN"/>
              </w:rPr>
              <w:t>理财计划合同文件中的文件名称</w:t>
            </w:r>
          </w:p>
        </w:tc>
        <w:tc>
          <w:tcPr>
            <w:tcW w:w="2266" w:type="dxa"/>
            <w:noWrap w:val="0"/>
            <w:vAlign w:val="center"/>
          </w:tcPr>
          <w:p>
            <w:pPr>
              <w:spacing w:line="360" w:lineRule="auto"/>
              <w:jc w:val="center"/>
              <w:rPr>
                <w:rFonts w:hint="eastAsia" w:ascii="宋体" w:hAnsi="宋体" w:cs="宋体"/>
                <w:sz w:val="21"/>
                <w:szCs w:val="21"/>
                <w:highlight w:val="none"/>
                <w:vertAlign w:val="baseline"/>
                <w:lang w:val="en-US" w:eastAsia="zh-CN"/>
              </w:rPr>
            </w:pPr>
            <w:r>
              <w:rPr>
                <w:rFonts w:hint="eastAsia" w:ascii="宋体" w:hAnsi="宋体" w:cs="宋体"/>
                <w:b/>
                <w:bCs/>
                <w:sz w:val="21"/>
                <w:szCs w:val="21"/>
                <w:highlight w:val="none"/>
                <w:vertAlign w:val="baseline"/>
                <w:lang w:val="en-US" w:eastAsia="zh-CN"/>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hint="default"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1</w:t>
            </w:r>
          </w:p>
        </w:tc>
        <w:tc>
          <w:tcPr>
            <w:tcW w:w="5160" w:type="dxa"/>
            <w:noWrap w:val="0"/>
            <w:vAlign w:val="center"/>
          </w:tcPr>
          <w:p>
            <w:pPr>
              <w:spacing w:line="360" w:lineRule="auto"/>
              <w:jc w:val="left"/>
              <w:rPr>
                <w:rFonts w:hint="default"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杭银理财幸福99添益(安享优选)28天持有期理财风险揭示书</w:t>
            </w:r>
          </w:p>
        </w:tc>
        <w:tc>
          <w:tcPr>
            <w:tcW w:w="2266" w:type="dxa"/>
            <w:noWrap w:val="0"/>
            <w:vAlign w:val="center"/>
          </w:tcPr>
          <w:p>
            <w:pPr>
              <w:spacing w:line="360" w:lineRule="auto"/>
              <w:jc w:val="center"/>
              <w:rPr>
                <w:rFonts w:hint="eastAsia"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hint="default"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2</w:t>
            </w:r>
          </w:p>
        </w:tc>
        <w:tc>
          <w:tcPr>
            <w:tcW w:w="5160" w:type="dxa"/>
            <w:noWrap w:val="0"/>
            <w:vAlign w:val="center"/>
          </w:tcPr>
          <w:p>
            <w:pPr>
              <w:spacing w:line="360" w:lineRule="auto"/>
              <w:jc w:val="left"/>
              <w:rPr>
                <w:rFonts w:hint="default"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杭银理财幸福99添益(安享优选)28天持有期理财产品说明书</w:t>
            </w:r>
          </w:p>
        </w:tc>
        <w:tc>
          <w:tcPr>
            <w:tcW w:w="2266" w:type="dxa"/>
            <w:noWrap w:val="0"/>
            <w:vAlign w:val="center"/>
          </w:tcPr>
          <w:p>
            <w:pPr>
              <w:spacing w:line="360" w:lineRule="auto"/>
              <w:jc w:val="center"/>
              <w:rPr>
                <w:rFonts w:hint="eastAsia"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hint="default"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3</w:t>
            </w:r>
          </w:p>
        </w:tc>
        <w:tc>
          <w:tcPr>
            <w:tcW w:w="5160" w:type="dxa"/>
            <w:noWrap w:val="0"/>
            <w:vAlign w:val="center"/>
          </w:tcPr>
          <w:p>
            <w:pPr>
              <w:spacing w:line="360" w:lineRule="auto"/>
              <w:jc w:val="left"/>
              <w:rPr>
                <w:rFonts w:hint="eastAsia"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杭银理财投资者权益须知</w:t>
            </w:r>
          </w:p>
        </w:tc>
        <w:tc>
          <w:tcPr>
            <w:tcW w:w="2266" w:type="dxa"/>
            <w:noWrap w:val="0"/>
            <w:vAlign w:val="center"/>
          </w:tcPr>
          <w:p>
            <w:pPr>
              <w:spacing w:line="360" w:lineRule="auto"/>
              <w:jc w:val="center"/>
              <w:rPr>
                <w:rFonts w:hint="eastAsia"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hint="default"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4</w:t>
            </w:r>
          </w:p>
        </w:tc>
        <w:tc>
          <w:tcPr>
            <w:tcW w:w="5160" w:type="dxa"/>
            <w:noWrap w:val="0"/>
            <w:vAlign w:val="center"/>
          </w:tcPr>
          <w:p>
            <w:pPr>
              <w:spacing w:line="360" w:lineRule="auto"/>
              <w:jc w:val="left"/>
              <w:rPr>
                <w:rFonts w:hint="eastAsia"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杭银理财理财计划投资协议书</w:t>
            </w:r>
          </w:p>
        </w:tc>
        <w:tc>
          <w:tcPr>
            <w:tcW w:w="2266" w:type="dxa"/>
            <w:noWrap w:val="0"/>
            <w:vAlign w:val="center"/>
          </w:tcPr>
          <w:p>
            <w:pPr>
              <w:spacing w:line="360" w:lineRule="auto"/>
              <w:jc w:val="center"/>
              <w:rPr>
                <w:rFonts w:hint="eastAsia"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spacing w:line="360" w:lineRule="auto"/>
              <w:jc w:val="center"/>
              <w:rPr>
                <w:rFonts w:hint="default"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5</w:t>
            </w:r>
          </w:p>
        </w:tc>
        <w:tc>
          <w:tcPr>
            <w:tcW w:w="5160" w:type="dxa"/>
            <w:noWrap w:val="0"/>
            <w:vAlign w:val="center"/>
          </w:tcPr>
          <w:p>
            <w:pPr>
              <w:spacing w:line="360" w:lineRule="auto"/>
              <w:jc w:val="left"/>
              <w:rPr>
                <w:rFonts w:hint="eastAsia"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杭银理财理财计划销售协议书</w:t>
            </w:r>
          </w:p>
        </w:tc>
        <w:tc>
          <w:tcPr>
            <w:tcW w:w="2266" w:type="dxa"/>
            <w:noWrap w:val="0"/>
            <w:vAlign w:val="center"/>
          </w:tcPr>
          <w:p>
            <w:pPr>
              <w:spacing w:line="360" w:lineRule="auto"/>
              <w:jc w:val="center"/>
              <w:rPr>
                <w:rFonts w:hint="eastAsia" w:ascii="宋体" w:hAnsi="宋体" w:cs="宋体"/>
                <w:sz w:val="21"/>
                <w:szCs w:val="21"/>
                <w:highlight w:val="none"/>
                <w:vertAlign w:val="baseline"/>
                <w:lang w:val="en-US" w:eastAsia="zh-CN"/>
              </w:rPr>
            </w:pPr>
            <w:r>
              <w:rPr>
                <w:rFonts w:hint="eastAsia" w:ascii="宋体" w:hAnsi="宋体" w:cs="宋体"/>
                <w:sz w:val="21"/>
                <w:szCs w:val="21"/>
                <w:highlight w:val="none"/>
                <w:vertAlign w:val="baseline"/>
                <w:lang w:val="en-US" w:eastAsia="zh-CN"/>
              </w:rPr>
              <w:t>理财计划销售协议书</w:t>
            </w:r>
          </w:p>
        </w:tc>
      </w:tr>
    </w:tbl>
    <w:p>
      <w:pPr>
        <w:jc w:val="center"/>
        <w:rPr>
          <w:rFonts w:hint="eastAsia" w:ascii="宋体" w:hAnsi="宋体" w:cs="宋体"/>
          <w:sz w:val="44"/>
          <w:szCs w:val="44"/>
          <w:highlight w:val="none"/>
          <w:lang w:val="en-US" w:eastAsia="zh-CN"/>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both"/>
        <w:rPr>
          <w:rFonts w:hint="eastAsia" w:ascii="宋体" w:hAnsi="宋体" w:cs="宋体"/>
          <w:sz w:val="32"/>
          <w:szCs w:val="32"/>
          <w:highlight w:val="none"/>
        </w:rPr>
      </w:pPr>
    </w:p>
    <w:p>
      <w:pPr>
        <w:pStyle w:val="2"/>
        <w:bidi w:val="0"/>
        <w:rPr>
          <w:rFonts w:hint="eastAsia"/>
          <w:highlight w:val="none"/>
        </w:rPr>
      </w:pPr>
      <w:r>
        <w:rPr>
          <w:rFonts w:hint="eastAsia" w:ascii="宋体" w:hAnsi="宋体" w:eastAsia="宋体" w:cs="宋体"/>
          <w:b/>
          <w:highlight w:val="none"/>
        </w:rPr>
        <w:t>杭银理财幸福99</w:t>
      </w:r>
      <w:r>
        <w:rPr>
          <w:rFonts w:hint="eastAsia" w:ascii="宋体" w:hAnsi="宋体" w:cs="宋体"/>
          <w:b/>
          <w:highlight w:val="none"/>
          <w:lang w:val="en-US" w:eastAsia="zh-CN"/>
        </w:rPr>
        <w:t>添益(安享优选)28天持有期理财</w:t>
      </w:r>
      <w:r>
        <w:rPr>
          <w:rFonts w:hint="eastAsia" w:ascii="宋体" w:hAnsi="宋体" w:eastAsia="宋体" w:cs="宋体"/>
          <w:b/>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（202</w:t>
      </w:r>
      <w:r>
        <w:rPr>
          <w:rFonts w:hint="eastAsia" w:ascii="宋体" w:hAnsi="宋体" w:cs="宋体"/>
          <w:sz w:val="28"/>
          <w:szCs w:val="28"/>
          <w:highlight w:val="none"/>
          <w:lang w:val="en-US" w:eastAsia="zh-CN"/>
        </w:rPr>
        <w:t>2</w:t>
      </w:r>
      <w:r>
        <w:rPr>
          <w:rFonts w:hint="eastAsia" w:ascii="宋体" w:hAnsi="宋体" w:cs="宋体"/>
          <w:sz w:val="28"/>
          <w:szCs w:val="28"/>
          <w:highlight w:val="none"/>
        </w:rPr>
        <w:t>01版）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val="en-US"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pStyle w:val="3"/>
        <w:pageBreakBefore w:val="0"/>
        <w:widowControl w:val="0"/>
        <w:numPr>
          <w:ilvl w:val="0"/>
          <w:numId w:val="1"/>
        </w:numPr>
        <w:kinsoku/>
        <w:wordWrap/>
        <w:overflowPunct/>
        <w:topLinePunct w:val="0"/>
        <w:autoSpaceDE/>
        <w:autoSpaceDN/>
        <w:bidi w:val="0"/>
        <w:adjustRightInd/>
        <w:snapToGrid/>
        <w:spacing w:line="360" w:lineRule="auto"/>
        <w:ind w:firstLine="482" w:firstLineChars="200"/>
        <w:textAlignment w:val="auto"/>
        <w:rPr>
          <w:rFonts w:hint="eastAsia"/>
          <w:highlight w:val="none"/>
        </w:rPr>
      </w:pPr>
      <w:r>
        <w:rPr>
          <w:rFonts w:hint="eastAsia"/>
          <w:highlight w:val="none"/>
        </w:rPr>
        <w:t>理财计划共性风险</w:t>
      </w:r>
    </w:p>
    <w:p>
      <w:pPr>
        <w:pStyle w:val="4"/>
        <w:numPr>
          <w:ilvl w:val="0"/>
          <w:numId w:val="2"/>
        </w:numPr>
        <w:bidi w:val="0"/>
        <w:ind w:firstLine="482" w:firstLineChars="200"/>
        <w:rPr>
          <w:highlight w:val="none"/>
        </w:rPr>
      </w:pPr>
      <w:r>
        <w:rPr>
          <w:rStyle w:val="22"/>
          <w:rFonts w:hint="eastAsia"/>
          <w:b/>
          <w:highlight w:val="none"/>
        </w:rPr>
        <w:t>信用风险：</w:t>
      </w:r>
      <w:r>
        <w:rPr>
          <w:rFonts w:hint="eastAsia"/>
          <w:highlight w:val="none"/>
        </w:rPr>
        <w:t>理财计划所投资产的相关义务人信用状况恶化，出现信用违约情形，则理财计划本金或收益蒙受部分或全部损失的风险。</w:t>
      </w:r>
    </w:p>
    <w:p>
      <w:pPr>
        <w:pStyle w:val="4"/>
        <w:numPr>
          <w:ilvl w:val="0"/>
          <w:numId w:val="2"/>
        </w:numPr>
        <w:bidi w:val="0"/>
        <w:ind w:firstLine="482" w:firstLineChars="200"/>
        <w:rPr>
          <w:rFonts w:hint="eastAsia"/>
          <w:highlight w:val="none"/>
        </w:rPr>
      </w:pPr>
      <w:r>
        <w:rPr>
          <w:rFonts w:hint="eastAsia"/>
          <w:b/>
          <w:highlight w:val="none"/>
        </w:rPr>
        <w:t>市场风险：</w:t>
      </w:r>
      <w:r>
        <w:rPr>
          <w:rFonts w:hint="eastAsia"/>
          <w:highlight w:val="none"/>
        </w:rPr>
        <w:t>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pStyle w:val="4"/>
        <w:numPr>
          <w:ilvl w:val="0"/>
          <w:numId w:val="4"/>
        </w:numPr>
        <w:bidi w:val="0"/>
        <w:ind w:firstLine="482" w:firstLineChars="200"/>
        <w:rPr>
          <w:highlight w:val="none"/>
        </w:rPr>
      </w:pPr>
      <w:r>
        <w:rPr>
          <w:rFonts w:hint="eastAsia"/>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pStyle w:val="4"/>
        <w:numPr>
          <w:ilvl w:val="0"/>
          <w:numId w:val="4"/>
        </w:numPr>
        <w:bidi w:val="0"/>
        <w:ind w:firstLine="482" w:firstLineChars="200"/>
        <w:rPr>
          <w:highlight w:val="none"/>
        </w:rPr>
      </w:pPr>
      <w:r>
        <w:rPr>
          <w:rFonts w:hint="eastAsia"/>
          <w:highlight w:val="none"/>
        </w:rPr>
        <w:t>政策风险：理财计划根据当前的相关法规和政策设计，如国家宏观政策以及相关市场法规发生变化，可能会影响理财计划的发行、投资、兑付等正常工作流程的进行，导致理财计划本金或收益蒙受部分或全部损失的风险。</w:t>
      </w:r>
    </w:p>
    <w:p>
      <w:pPr>
        <w:pStyle w:val="4"/>
        <w:numPr>
          <w:ilvl w:val="0"/>
          <w:numId w:val="4"/>
        </w:numPr>
        <w:bidi w:val="0"/>
        <w:ind w:firstLine="482" w:firstLineChars="200"/>
        <w:rPr>
          <w:highlight w:val="none"/>
        </w:rPr>
      </w:pPr>
      <w:r>
        <w:rPr>
          <w:rFonts w:hint="eastAsia"/>
          <w:highlight w:val="none"/>
        </w:rPr>
        <w:t>操作风险：理财计划由于内部作业、人员管理、系统操作、交易对手交易处理不当或失误等，导致理财计划本金或收益蒙受部分或全部损失的风险。</w:t>
      </w:r>
    </w:p>
    <w:p>
      <w:pPr>
        <w:pStyle w:val="4"/>
        <w:numPr>
          <w:ilvl w:val="0"/>
          <w:numId w:val="4"/>
        </w:numPr>
        <w:bidi w:val="0"/>
        <w:ind w:firstLine="482" w:firstLineChars="200"/>
        <w:rPr>
          <w:highlight w:val="none"/>
        </w:rPr>
      </w:pPr>
      <w:r>
        <w:rPr>
          <w:rFonts w:hint="eastAsia"/>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pStyle w:val="4"/>
        <w:numPr>
          <w:ilvl w:val="0"/>
          <w:numId w:val="4"/>
        </w:numPr>
        <w:bidi w:val="0"/>
        <w:ind w:firstLine="482" w:firstLineChars="200"/>
        <w:rPr>
          <w:highlight w:val="none"/>
        </w:rPr>
      </w:pPr>
      <w:r>
        <w:rPr>
          <w:rFonts w:hint="eastAsia"/>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pStyle w:val="4"/>
        <w:numPr>
          <w:ilvl w:val="0"/>
          <w:numId w:val="4"/>
        </w:numPr>
        <w:bidi w:val="0"/>
        <w:ind w:firstLine="482" w:firstLineChars="200"/>
        <w:rPr>
          <w:highlight w:val="none"/>
        </w:rPr>
      </w:pPr>
      <w:r>
        <w:rPr>
          <w:rFonts w:hint="eastAsia"/>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pStyle w:val="4"/>
        <w:numPr>
          <w:ilvl w:val="0"/>
          <w:numId w:val="4"/>
        </w:numPr>
        <w:bidi w:val="0"/>
        <w:ind w:firstLine="482" w:firstLineChars="200"/>
        <w:rPr>
          <w:highlight w:val="none"/>
        </w:rPr>
      </w:pPr>
      <w:r>
        <w:rPr>
          <w:rFonts w:hint="eastAsia"/>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ind w:firstLine="482" w:firstLineChars="200"/>
        <w:jc w:val="left"/>
        <w:outlineLvl w:val="2"/>
        <w:rPr>
          <w:rFonts w:hint="eastAsia" w:ascii="Calibri" w:hAnsi="Calibri" w:eastAsia="宋体" w:cs="黑体"/>
          <w:b/>
          <w:kern w:val="2"/>
          <w:sz w:val="24"/>
          <w:szCs w:val="24"/>
          <w:highlight w:val="none"/>
          <w:lang w:val="en-US" w:eastAsia="zh-CN" w:bidi="ar-SA"/>
        </w:rPr>
      </w:pPr>
      <w:r>
        <w:rPr>
          <w:rStyle w:val="21"/>
          <w:rFonts w:hint="eastAsia"/>
          <w:highlight w:val="none"/>
          <w:lang w:val="en-US" w:eastAsia="zh-CN"/>
        </w:rPr>
        <w:t>信息传递风险：</w:t>
      </w:r>
      <w:r>
        <w:rPr>
          <w:rFonts w:hint="eastAsia"/>
          <w:b/>
          <w:bCs/>
          <w:highlight w:val="none"/>
          <w:lang w:val="en-US" w:eastAsia="zh-CN"/>
        </w:rPr>
        <w:t>由于投资者未能及时主动了解理财计划信息，或由于通信故障、系统故障以及其他不可抗力等因素的影响，使得投资者无法及时了解理财计划信息，而导致投资者无法及时做出合理决策，导致理财计划本金或收益蒙受部分或全部损失的风险。</w:t>
      </w:r>
    </w:p>
    <w:p>
      <w:pPr>
        <w:pStyle w:val="4"/>
        <w:numPr>
          <w:ilvl w:val="0"/>
          <w:numId w:val="4"/>
        </w:numPr>
        <w:bidi w:val="0"/>
        <w:rPr>
          <w:highlight w:val="none"/>
        </w:rPr>
      </w:pPr>
      <w:r>
        <w:rPr>
          <w:rFonts w:hint="eastAsia"/>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highlight w:val="none"/>
          <w:lang w:eastAsia="zh-CN"/>
        </w:rPr>
        <w:t>理</w:t>
      </w:r>
      <w:r>
        <w:rPr>
          <w:rFonts w:hint="eastAsia"/>
          <w:highlight w:val="none"/>
        </w:rPr>
        <w:t>财计划本金或收益蒙受部分或全部损失的风险。</w:t>
      </w:r>
    </w:p>
    <w:p>
      <w:pPr>
        <w:numPr>
          <w:ilvl w:val="0"/>
          <w:numId w:val="4"/>
        </w:numPr>
        <w:spacing w:line="360" w:lineRule="auto"/>
        <w:ind w:firstLine="482" w:firstLineChars="200"/>
        <w:jc w:val="left"/>
        <w:outlineLvl w:val="2"/>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ind w:firstLine="482" w:firstLineChars="200"/>
        <w:jc w:val="left"/>
        <w:outlineLvl w:val="2"/>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ind w:firstLine="482" w:firstLineChars="200"/>
        <w:jc w:val="left"/>
        <w:outlineLvl w:val="2"/>
        <w:rPr>
          <w:rFonts w:ascii="宋体" w:hAnsi="宋体" w:cs="宋体"/>
          <w:b/>
          <w:sz w:val="24"/>
          <w:highlight w:val="none"/>
        </w:rPr>
      </w:pPr>
      <w:r>
        <w:rPr>
          <w:rFonts w:hint="eastAsia" w:ascii="宋体" w:hAnsi="宋体" w:cs="宋体"/>
          <w:b/>
          <w:sz w:val="24"/>
          <w:highlight w:val="none"/>
        </w:rPr>
        <w:t>代销风险：本理财计划通过代销渠道销售，投资者认</w:t>
      </w:r>
      <w:r>
        <w:rPr>
          <w:rFonts w:hint="eastAsia" w:ascii="宋体" w:hAnsi="宋体" w:cs="宋体"/>
          <w:b/>
          <w:sz w:val="24"/>
          <w:highlight w:val="none"/>
          <w:lang w:val="en-US" w:eastAsia="zh-CN"/>
        </w:rPr>
        <w:t>/申</w:t>
      </w:r>
      <w:r>
        <w:rPr>
          <w:rFonts w:hint="eastAsia" w:ascii="宋体" w:hAnsi="宋体" w:cs="宋体"/>
          <w:b/>
          <w:sz w:val="24"/>
          <w:highlight w:val="none"/>
        </w:rPr>
        <w:t>购理财计划的资金由销售机构从投资者资金账户扣收；理财计划到期</w:t>
      </w:r>
      <w:r>
        <w:rPr>
          <w:rFonts w:hint="eastAsia" w:ascii="宋体" w:hAnsi="宋体" w:cs="宋体"/>
          <w:b/>
          <w:sz w:val="24"/>
          <w:highlight w:val="none"/>
          <w:lang w:val="en-US" w:eastAsia="zh-CN"/>
        </w:rPr>
        <w:t>/赎回</w:t>
      </w:r>
      <w:r>
        <w:rPr>
          <w:rFonts w:hint="eastAsia" w:ascii="宋体" w:hAnsi="宋体" w:cs="宋体"/>
          <w:b/>
          <w:sz w:val="24"/>
          <w:highlight w:val="none"/>
        </w:rPr>
        <w:t>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2"/>
        <w:rPr>
          <w:rFonts w:ascii="宋体" w:hAnsi="宋体" w:cs="宋体"/>
          <w:b/>
          <w:sz w:val="24"/>
          <w:highlight w:val="none"/>
        </w:rPr>
      </w:pPr>
      <w:r>
        <w:rPr>
          <w:rFonts w:ascii="宋体" w:hAnsi="宋体" w:cs="宋体"/>
          <w:b/>
          <w:sz w:val="24"/>
          <w:highlight w:val="none"/>
        </w:rPr>
        <w:t>关联关系风险：本理财</w:t>
      </w:r>
      <w:r>
        <w:rPr>
          <w:rFonts w:hint="eastAsia" w:ascii="宋体" w:hAnsi="宋体" w:cs="宋体"/>
          <w:b/>
          <w:sz w:val="24"/>
          <w:highlight w:val="none"/>
          <w:lang w:eastAsia="zh-CN"/>
        </w:rPr>
        <w:t>计划</w:t>
      </w:r>
      <w:r>
        <w:rPr>
          <w:rFonts w:ascii="宋体" w:hAnsi="宋体" w:cs="宋体"/>
          <w:b/>
          <w:sz w:val="24"/>
          <w:highlight w:val="none"/>
        </w:rPr>
        <w:t>销售机构</w:t>
      </w:r>
      <w:r>
        <w:rPr>
          <w:rFonts w:hint="eastAsia" w:ascii="宋体" w:hAnsi="宋体" w:cs="宋体"/>
          <w:b/>
          <w:sz w:val="24"/>
          <w:highlight w:val="none"/>
          <w:lang w:eastAsia="zh-CN"/>
        </w:rPr>
        <w:t>之一</w:t>
      </w:r>
      <w:r>
        <w:rPr>
          <w:rFonts w:ascii="宋体" w:hAnsi="宋体" w:cs="宋体"/>
          <w:b/>
          <w:sz w:val="24"/>
          <w:highlight w:val="none"/>
        </w:rPr>
        <w:t>为杭州银行股份有限公司，杭银理财系杭州银行全资子公司，双方存在关联关系。杭州银行作为本理财</w:t>
      </w:r>
      <w:r>
        <w:rPr>
          <w:rFonts w:hint="eastAsia" w:ascii="宋体" w:hAnsi="宋体" w:cs="宋体"/>
          <w:b/>
          <w:sz w:val="24"/>
          <w:highlight w:val="none"/>
          <w:lang w:eastAsia="zh-CN"/>
        </w:rPr>
        <w:t>计划</w:t>
      </w:r>
      <w:r>
        <w:rPr>
          <w:rFonts w:ascii="宋体" w:hAnsi="宋体" w:cs="宋体"/>
          <w:b/>
          <w:sz w:val="24"/>
          <w:highlight w:val="none"/>
        </w:rPr>
        <w:t>销售机构将按照法律法规、监管规定，执行不低于代理销售其他机构发行管理的理财产品的准入标准、风险评级、销售管理等要求；杭州银行作为销售机构不保证本</w:t>
      </w:r>
      <w:r>
        <w:rPr>
          <w:rFonts w:hint="eastAsia" w:ascii="宋体" w:hAnsi="宋体" w:cs="宋体"/>
          <w:b/>
          <w:sz w:val="24"/>
          <w:highlight w:val="none"/>
          <w:lang w:eastAsia="zh-CN"/>
        </w:rPr>
        <w:t>理财计划</w:t>
      </w:r>
      <w:r>
        <w:rPr>
          <w:rFonts w:ascii="宋体" w:hAnsi="宋体" w:cs="宋体"/>
          <w:b/>
          <w:sz w:val="24"/>
          <w:highlight w:val="none"/>
        </w:rPr>
        <w:t>收益，不承担</w:t>
      </w:r>
      <w:r>
        <w:rPr>
          <w:rFonts w:hint="eastAsia" w:ascii="宋体" w:hAnsi="宋体" w:cs="宋体"/>
          <w:b/>
          <w:sz w:val="24"/>
          <w:highlight w:val="none"/>
          <w:lang w:eastAsia="zh-CN"/>
        </w:rPr>
        <w:t>理财计划</w:t>
      </w:r>
      <w:r>
        <w:rPr>
          <w:rFonts w:ascii="宋体" w:hAnsi="宋体" w:cs="宋体"/>
          <w:b/>
          <w:sz w:val="24"/>
          <w:highlight w:val="none"/>
        </w:rPr>
        <w:t>的投资、兑付和风险管理责任。</w:t>
      </w:r>
    </w:p>
    <w:p>
      <w:pPr>
        <w:numPr>
          <w:ilvl w:val="0"/>
          <w:numId w:val="1"/>
        </w:numPr>
        <w:spacing w:line="360" w:lineRule="auto"/>
        <w:ind w:firstLine="482" w:firstLineChars="200"/>
        <w:jc w:val="left"/>
        <w:outlineLvl w:val="1"/>
        <w:rPr>
          <w:rFonts w:ascii="宋体" w:hAnsi="宋体" w:cs="宋体"/>
          <w:b/>
          <w:sz w:val="24"/>
          <w:highlight w:val="none"/>
        </w:rPr>
      </w:pPr>
      <w:r>
        <w:rPr>
          <w:rFonts w:hint="eastAsia" w:ascii="宋体" w:hAnsi="宋体" w:cs="宋体"/>
          <w:b/>
          <w:sz w:val="24"/>
          <w:highlight w:val="none"/>
        </w:rPr>
        <w:t>理财计划特定风险</w:t>
      </w:r>
    </w:p>
    <w:p>
      <w:pPr>
        <w:numPr>
          <w:ilvl w:val="0"/>
          <w:numId w:val="5"/>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资金流动性风险：本理财计划认购/申购份额确认后，投资者需持有份额一定期限后才能申请赎回，期间不得提前赎回。</w:t>
      </w:r>
    </w:p>
    <w:p>
      <w:pPr>
        <w:numPr>
          <w:ilvl w:val="0"/>
          <w:numId w:val="5"/>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收益不达业绩比较基准风险：本理财计划的投资收益与投资者的申购、赎回时点密切相关，收益存在一定的波动性，理财计划本金出现损失的可能性不容忽视。</w:t>
      </w:r>
    </w:p>
    <w:p>
      <w:pPr>
        <w:numPr>
          <w:ilvl w:val="0"/>
          <w:numId w:val="5"/>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未知价风险：产品以产品申购和赎回确认时的单位净值，按照“金额申购、份额赎回”的原则计算投资者申购份额和赎回资金，产品净值可能会有波动</w:t>
      </w:r>
      <w:r>
        <w:rPr>
          <w:rFonts w:hint="eastAsia" w:ascii="宋体" w:hAnsi="宋体" w:cs="宋体"/>
          <w:b/>
          <w:sz w:val="24"/>
          <w:highlight w:val="none"/>
          <w:lang w:eastAsia="zh-CN"/>
        </w:rPr>
        <w:t>。</w:t>
      </w:r>
    </w:p>
    <w:p>
      <w:p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上述理财计划共性与特定风险发生时，投资者的本金及收益可能遭受损失，在最不利情形下，将损失全部本金及收益，由此产生的风险及损失将由投资者自行承担。</w:t>
      </w:r>
    </w:p>
    <w:p>
      <w:pPr>
        <w:numPr>
          <w:ilvl w:val="0"/>
          <w:numId w:val="1"/>
        </w:numPr>
        <w:spacing w:line="360" w:lineRule="auto"/>
        <w:ind w:firstLine="482" w:firstLineChars="200"/>
        <w:jc w:val="left"/>
        <w:outlineLvl w:val="1"/>
        <w:rPr>
          <w:rFonts w:ascii="宋体" w:hAnsi="宋体" w:cs="宋体"/>
          <w:b/>
          <w:sz w:val="24"/>
          <w:highlight w:val="none"/>
        </w:rPr>
      </w:pPr>
      <w:r>
        <w:rPr>
          <w:rFonts w:hint="eastAsia" w:ascii="宋体" w:hAnsi="宋体" w:cs="宋体"/>
          <w:b/>
          <w:sz w:val="24"/>
          <w:highlight w:val="none"/>
        </w:rPr>
        <w:t>其他信息提示</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ind w:firstLine="482" w:firstLineChars="200"/>
        <w:jc w:val="left"/>
        <w:outlineLvl w:val="2"/>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ind w:firstLine="480" w:firstLineChars="200"/>
        <w:jc w:val="left"/>
        <w:outlineLvl w:val="9"/>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ind w:firstLine="480" w:firstLineChars="200"/>
        <w:jc w:val="left"/>
        <w:outlineLvl w:val="9"/>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ind w:firstLine="480" w:firstLineChars="200"/>
        <w:jc w:val="left"/>
        <w:outlineLvl w:val="9"/>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ind w:firstLine="482" w:firstLineChars="200"/>
        <w:jc w:val="left"/>
        <w:outlineLvl w:val="2"/>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ind w:firstLine="482" w:firstLineChars="200"/>
        <w:jc w:val="left"/>
        <w:outlineLvl w:val="2"/>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本理财计划为公募、开放式、〖</w:t>
      </w:r>
      <w:r>
        <w:rPr>
          <w:rFonts w:hint="eastAsia" w:ascii="宋体" w:hAnsi="宋体" w:cs="宋体"/>
          <w:b/>
          <w:sz w:val="24"/>
          <w:highlight w:val="none"/>
          <w:lang w:val="en-US" w:eastAsia="zh-CN"/>
        </w:rPr>
        <w:t>固定收益</w:t>
      </w:r>
      <w:r>
        <w:rPr>
          <w:rFonts w:hint="eastAsia" w:ascii="宋体" w:hAnsi="宋体" w:cs="宋体"/>
          <w:b/>
          <w:sz w:val="24"/>
          <w:highlight w:val="none"/>
        </w:rPr>
        <w:t>类〗净值型理财计划，〖</w:t>
      </w:r>
      <w:r>
        <w:rPr>
          <w:rFonts w:hint="eastAsia" w:ascii="宋体" w:hAnsi="宋体" w:cs="宋体"/>
          <w:b/>
          <w:sz w:val="24"/>
          <w:highlight w:val="none"/>
          <w:lang w:eastAsia="zh-CN"/>
        </w:rPr>
        <w:t>无固定期限</w:t>
      </w:r>
      <w:r>
        <w:rPr>
          <w:rFonts w:hint="eastAsia" w:ascii="宋体" w:hAnsi="宋体" w:cs="宋体"/>
          <w:b/>
          <w:sz w:val="24"/>
          <w:highlight w:val="none"/>
        </w:rPr>
        <w:t>〗，不保证本金与收益。根据本公司理财产品内部风险评级，该理财计划风险评级结果为〖R</w:t>
      </w:r>
      <w:r>
        <w:rPr>
          <w:rFonts w:hint="eastAsia" w:ascii="宋体" w:hAnsi="宋体" w:cs="宋体"/>
          <w:b/>
          <w:sz w:val="24"/>
          <w:highlight w:val="none"/>
          <w:lang w:val="en-US" w:eastAsia="zh-CN"/>
        </w:rPr>
        <w:t>2</w:t>
      </w:r>
      <w:r>
        <w:rPr>
          <w:rFonts w:hint="eastAsia" w:ascii="宋体" w:hAnsi="宋体" w:cs="宋体"/>
          <w:b/>
          <w:sz w:val="24"/>
          <w:highlight w:val="none"/>
        </w:rPr>
        <w:t>〗,〖</w:t>
      </w:r>
      <w:r>
        <w:rPr>
          <w:rFonts w:hint="eastAsia" w:ascii="宋体" w:hAnsi="宋体" w:cs="宋体"/>
          <w:b/>
          <w:sz w:val="24"/>
          <w:highlight w:val="none"/>
          <w:lang w:val="en-US" w:eastAsia="zh-CN"/>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eastAsia="zh-CN"/>
        </w:rPr>
        <w:t>，</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总体风险〖程度</w:t>
      </w:r>
      <w:r>
        <w:rPr>
          <w:rFonts w:hint="eastAsia" w:ascii="宋体" w:hAnsi="宋体" w:cs="宋体"/>
          <w:b/>
          <w:sz w:val="24"/>
          <w:highlight w:val="none"/>
          <w:lang w:eastAsia="zh-CN"/>
        </w:rPr>
        <w:t>较</w:t>
      </w:r>
      <w:r>
        <w:rPr>
          <w:rFonts w:hint="eastAsia" w:ascii="宋体" w:hAnsi="宋体" w:cs="宋体"/>
          <w:b/>
          <w:sz w:val="24"/>
          <w:highlight w:val="none"/>
          <w:lang w:val="en-US" w:eastAsia="zh-CN"/>
        </w:rPr>
        <w:t>低</w:t>
      </w:r>
      <w:r>
        <w:rPr>
          <w:rFonts w:hint="eastAsia" w:ascii="宋体" w:hAnsi="宋体" w:cs="宋体"/>
          <w:b/>
          <w:sz w:val="24"/>
          <w:highlight w:val="none"/>
        </w:rPr>
        <w:t>，收益波动</w:t>
      </w:r>
      <w:r>
        <w:rPr>
          <w:rFonts w:hint="eastAsia" w:ascii="宋体" w:hAnsi="宋体" w:cs="宋体"/>
          <w:b/>
          <w:sz w:val="24"/>
          <w:highlight w:val="none"/>
          <w:lang w:eastAsia="zh-CN"/>
        </w:rPr>
        <w:t>较</w:t>
      </w:r>
      <w:r>
        <w:rPr>
          <w:rFonts w:hint="eastAsia" w:ascii="宋体" w:hAnsi="宋体" w:cs="宋体"/>
          <w:b/>
          <w:sz w:val="24"/>
          <w:highlight w:val="none"/>
          <w:lang w:val="en-US" w:eastAsia="zh-CN"/>
        </w:rPr>
        <w:t>小</w:t>
      </w:r>
      <w:r>
        <w:rPr>
          <w:rFonts w:hint="eastAsia" w:ascii="宋体" w:hAnsi="宋体" w:cs="宋体"/>
          <w:b/>
          <w:sz w:val="24"/>
          <w:highlight w:val="none"/>
        </w:rPr>
        <w:t>，</w:t>
      </w:r>
      <w:r>
        <w:rPr>
          <w:rFonts w:hint="eastAsia" w:ascii="宋体" w:hAnsi="宋体" w:cs="宋体"/>
          <w:b/>
          <w:sz w:val="24"/>
          <w:highlight w:val="none"/>
          <w:lang w:eastAsia="zh-CN"/>
        </w:rPr>
        <w:t>虽然存在一些可能对产品本金和收益安全产生不利影响的因素，但</w:t>
      </w:r>
      <w:r>
        <w:rPr>
          <w:rFonts w:hint="eastAsia" w:ascii="宋体" w:hAnsi="宋体" w:cs="宋体"/>
          <w:b/>
          <w:sz w:val="24"/>
          <w:highlight w:val="none"/>
        </w:rPr>
        <w:t>产品本金</w:t>
      </w:r>
      <w:r>
        <w:rPr>
          <w:rFonts w:hint="eastAsia" w:ascii="宋体" w:hAnsi="宋体" w:cs="宋体"/>
          <w:b/>
          <w:sz w:val="24"/>
          <w:highlight w:val="none"/>
          <w:lang w:eastAsia="zh-CN"/>
        </w:rPr>
        <w:t>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本理财计划适合〖机构投资者〗以及〖稳健型</w:t>
      </w:r>
      <w:r>
        <w:rPr>
          <w:rFonts w:hint="eastAsia" w:ascii="宋体" w:hAnsi="宋体" w:cs="宋体"/>
          <w:b/>
          <w:sz w:val="24"/>
          <w:highlight w:val="none"/>
          <w:lang w:eastAsia="zh-CN"/>
        </w:rPr>
        <w:t>、</w:t>
      </w:r>
      <w:r>
        <w:rPr>
          <w:rFonts w:hint="eastAsia" w:ascii="宋体" w:hAnsi="宋体" w:cs="宋体"/>
          <w:b/>
          <w:sz w:val="24"/>
          <w:highlight w:val="none"/>
        </w:rPr>
        <w:t>平衡型、成长型、进取型〗的个人投资者，个人投资者的风险承受能力评估以销售机构为准。</w:t>
      </w:r>
      <w:r>
        <w:rPr>
          <w:rFonts w:hint="eastAsia" w:ascii="宋体" w:hAnsi="宋体" w:cs="宋体"/>
          <w:bCs/>
          <w:sz w:val="24"/>
          <w:highlight w:val="none"/>
        </w:rPr>
        <w:t>本理财计划投资者适当性评估由销售机构负责，销售机构应确保个人投资者的风险承受能力不低于本理财计划风险评级。</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上述风险客观存在，敬请投资者予以充分关注！</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理财计划管理人有权按照国内外反洗钱相关适用的法律法规和监管要求，从销售机构获得相应必要的投资者身份信息并报送投资者身份信息及其持有理财产品信息。销售机构将在合法、合理且必要时向管理人提供投资者身份识别信息（投资者身份识别信息包括但不限于：投资者的姓名、性别、国籍、职业、住所地或者工作单位地址、常居地地址、联系方式、身份证明文件的种类、号码和有效期限、代理人信息、受益所有人信息），以及在合法、合理且必要时进一步提供身份证明文件的复印件和影印件以及其他必要信息。投资者签署后即表示同意并配合提供前述信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Cs/>
          <w:sz w:val="24"/>
          <w:highlight w:val="none"/>
        </w:rPr>
      </w:pPr>
    </w:p>
    <w:p>
      <w:pPr>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pStyle w:val="17"/>
        <w:spacing w:line="360" w:lineRule="auto"/>
        <w:ind w:firstLine="482" w:firstLineChars="200"/>
        <w:jc w:val="center"/>
        <w:outlineLvl w:val="1"/>
        <w:rPr>
          <w:rFonts w:hint="eastAsia" w:ascii="宋体" w:hAnsi="宋体" w:cs="宋体"/>
          <w:b/>
          <w:color w:val="auto"/>
          <w:highlight w:val="none"/>
        </w:rPr>
      </w:pPr>
      <w:r>
        <w:rPr>
          <w:rFonts w:hint="eastAsia" w:ascii="宋体" w:hAnsi="宋体" w:cs="宋体"/>
          <w:b/>
          <w:color w:val="auto"/>
          <w:highlight w:val="none"/>
        </w:rPr>
        <w:br w:type="page"/>
      </w: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w:t>
      </w:r>
      <w:r>
        <w:rPr>
          <w:rFonts w:hint="eastAsia" w:ascii="宋体" w:hAnsi="宋体" w:cs="宋体"/>
          <w:b w:val="0"/>
          <w:bCs w:val="0"/>
          <w:color w:val="auto"/>
          <w:highlight w:val="none"/>
          <w:u w:val="single"/>
        </w:rPr>
        <w:t>风险</w:t>
      </w:r>
      <w:r>
        <w:rPr>
          <w:rFonts w:hint="eastAsia" w:ascii="宋体" w:hAnsi="宋体" w:cs="宋体"/>
          <w:color w:val="auto"/>
          <w:highlight w:val="none"/>
          <w:u w:val="single"/>
        </w:rPr>
        <w:t>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82" w:firstLineChars="200"/>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82" w:firstLineChars="200"/>
        <w:jc w:val="both"/>
        <w:rPr>
          <w:rFonts w:hint="eastAsia"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cs="宋体"/>
          <w:kern w:val="0"/>
          <w:sz w:val="24"/>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pStyle w:val="17"/>
        <w:spacing w:line="360" w:lineRule="auto"/>
        <w:ind w:firstLine="482" w:firstLineChars="200"/>
        <w:jc w:val="center"/>
        <w:rPr>
          <w:rFonts w:hint="eastAsia" w:ascii="宋体" w:hAnsi="宋体" w:eastAsia="宋体" w:cs="宋体"/>
          <w:b/>
          <w:bCs/>
          <w:color w:val="auto"/>
          <w:highlight w:val="none"/>
          <w:u w:val="none"/>
        </w:rPr>
      </w:pPr>
    </w:p>
    <w:p>
      <w:pPr>
        <w:pStyle w:val="17"/>
        <w:spacing w:line="360" w:lineRule="auto"/>
        <w:ind w:firstLine="482" w:firstLineChars="200"/>
        <w:jc w:val="center"/>
        <w:rPr>
          <w:rFonts w:hint="eastAsia" w:ascii="宋体" w:hAnsi="宋体" w:eastAsia="宋体" w:cs="宋体"/>
          <w:b/>
          <w:bCs/>
          <w:color w:val="auto"/>
          <w:highlight w:val="none"/>
          <w:u w:val="none"/>
        </w:rPr>
      </w:pPr>
    </w:p>
    <w:p>
      <w:pPr>
        <w:pStyle w:val="17"/>
        <w:spacing w:line="360" w:lineRule="auto"/>
        <w:ind w:firstLine="482" w:firstLineChars="200"/>
        <w:jc w:val="center"/>
        <w:rPr>
          <w:rFonts w:hint="eastAsia" w:ascii="宋体" w:hAnsi="宋体" w:eastAsia="宋体" w:cs="宋体"/>
          <w:b/>
          <w:bCs/>
          <w:color w:val="auto"/>
          <w:highlight w:val="none"/>
          <w:u w:val="none"/>
        </w:rPr>
      </w:pPr>
    </w:p>
    <w:p>
      <w:pPr>
        <w:pStyle w:val="17"/>
        <w:spacing w:line="360" w:lineRule="auto"/>
        <w:ind w:firstLine="0" w:firstLineChars="0"/>
        <w:jc w:val="both"/>
        <w:rPr>
          <w:rFonts w:hint="eastAsia" w:ascii="宋体" w:hAnsi="宋体" w:eastAsia="宋体" w:cs="宋体"/>
          <w:b/>
          <w:bCs/>
          <w:color w:val="auto"/>
          <w:highlight w:val="none"/>
          <w:u w:val="none"/>
        </w:rPr>
      </w:pPr>
    </w:p>
    <w:p>
      <w:pPr>
        <w:pStyle w:val="17"/>
        <w:spacing w:line="360" w:lineRule="auto"/>
        <w:ind w:firstLine="482" w:firstLineChars="200"/>
        <w:jc w:val="center"/>
        <w:outlineLvl w:val="1"/>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pStyle w:val="17"/>
        <w:spacing w:line="360" w:lineRule="auto"/>
        <w:ind w:firstLine="482" w:firstLineChars="200"/>
        <w:jc w:val="both"/>
        <w:rPr>
          <w:rFonts w:hint="eastAsia" w:ascii="宋体" w:hAnsi="宋体" w:eastAsia="宋体" w:cs="宋体"/>
          <w:b/>
          <w:bCs/>
          <w:color w:val="auto"/>
          <w:highlight w:val="none"/>
          <w:u w:val="none"/>
          <w:lang w:val="en-US" w:eastAsia="zh-CN"/>
        </w:rPr>
      </w:pP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p>
    <w:p>
      <w:pPr>
        <w:jc w:val="center"/>
        <w:outlineLvl w:val="0"/>
        <w:rPr>
          <w:rFonts w:hint="eastAsia" w:ascii="宋体" w:hAnsi="宋体" w:cs="宋体"/>
          <w:b/>
          <w:bCs/>
          <w:sz w:val="44"/>
          <w:szCs w:val="44"/>
          <w:highlight w:val="none"/>
        </w:rPr>
      </w:pPr>
      <w:r>
        <w:rPr>
          <w:rFonts w:hint="eastAsia" w:ascii="宋体" w:hAnsi="宋体" w:cs="宋体"/>
          <w:b/>
          <w:bCs/>
          <w:sz w:val="44"/>
          <w:szCs w:val="44"/>
          <w:highlight w:val="none"/>
        </w:rPr>
        <w:br w:type="page"/>
      </w:r>
      <w:r>
        <w:rPr>
          <w:rFonts w:hint="eastAsia" w:ascii="宋体" w:hAnsi="宋体" w:cs="宋体"/>
          <w:b/>
          <w:bCs/>
          <w:sz w:val="44"/>
          <w:szCs w:val="44"/>
          <w:highlight w:val="none"/>
        </w:rPr>
        <w:t>杭银理财幸福99</w:t>
      </w:r>
      <w:r>
        <w:rPr>
          <w:rFonts w:hint="eastAsia" w:ascii="宋体" w:hAnsi="宋体" w:cs="宋体"/>
          <w:b/>
          <w:bCs/>
          <w:sz w:val="44"/>
          <w:szCs w:val="44"/>
          <w:highlight w:val="none"/>
          <w:lang w:val="en-US" w:eastAsia="zh-CN"/>
        </w:rPr>
        <w:t>添益(安享优选)28天持有期理财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（202</w:t>
      </w:r>
      <w:r>
        <w:rPr>
          <w:rFonts w:hint="eastAsia" w:ascii="宋体" w:hAnsi="宋体" w:cs="宋体"/>
          <w:sz w:val="28"/>
          <w:szCs w:val="28"/>
          <w:highlight w:val="none"/>
          <w:lang w:val="en-US" w:eastAsia="zh-CN"/>
        </w:rPr>
        <w:t>2</w:t>
      </w:r>
      <w:r>
        <w:rPr>
          <w:rFonts w:hint="eastAsia" w:ascii="宋体" w:hAnsi="宋体" w:cs="宋体"/>
          <w:sz w:val="28"/>
          <w:szCs w:val="28"/>
          <w:highlight w:val="none"/>
        </w:rPr>
        <w:t>01版）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〖Z7002224000013〗</w:t>
      </w:r>
    </w:p>
    <w:p>
      <w:pPr>
        <w:spacing w:line="360" w:lineRule="auto"/>
        <w:jc w:val="center"/>
        <w:rPr>
          <w:rFonts w:hint="eastAsia" w:ascii="宋体" w:hAnsi="宋体" w:cs="宋体"/>
          <w:bCs/>
          <w:sz w:val="24"/>
          <w:highlight w:val="none"/>
        </w:rPr>
      </w:pPr>
    </w:p>
    <w:p>
      <w:pPr>
        <w:numPr>
          <w:ilvl w:val="0"/>
          <w:numId w:val="9"/>
        </w:numPr>
        <w:spacing w:line="360" w:lineRule="auto"/>
        <w:ind w:firstLine="482" w:firstLineChars="200"/>
        <w:jc w:val="left"/>
        <w:outlineLvl w:val="1"/>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ind w:firstLine="482" w:firstLineChars="200"/>
        <w:jc w:val="left"/>
        <w:outlineLvl w:val="2"/>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w:t>
      </w:r>
      <w:r>
        <w:rPr>
          <w:rFonts w:hint="eastAsia" w:ascii="宋体" w:hAnsi="宋体" w:cs="宋体"/>
          <w:bCs/>
          <w:sz w:val="24"/>
          <w:highlight w:val="none"/>
          <w:lang w:eastAsia="zh-CN"/>
        </w:rPr>
        <w:t>理财计划</w:t>
      </w:r>
      <w:r>
        <w:rPr>
          <w:rFonts w:hint="eastAsia" w:ascii="宋体" w:hAnsi="宋体" w:cs="宋体"/>
          <w:bCs/>
          <w:sz w:val="24"/>
          <w:highlight w:val="none"/>
        </w:rPr>
        <w:t>风险揭示书》《投资者权益须知》《理财计划投资协议书》</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，将共同构成投资者与管理人之间的理财计划交易合同。</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在本理财计划存续期内，如因监管政策或法律法规发生变化，在不损害投资者利益的前提下，管理人有权单方对本理财计划说明书条款进行修订。</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ind w:firstLine="480" w:firstLineChars="200"/>
        <w:jc w:val="left"/>
        <w:outlineLvl w:val="2"/>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numPr>
          <w:ilvl w:val="0"/>
          <w:numId w:val="0"/>
        </w:numPr>
        <w:spacing w:line="360" w:lineRule="auto"/>
        <w:jc w:val="left"/>
        <w:rPr>
          <w:rFonts w:hint="eastAsia" w:ascii="宋体" w:hAnsi="宋体" w:cs="宋体"/>
          <w:bCs/>
          <w:sz w:val="24"/>
          <w:highlight w:val="none"/>
        </w:rPr>
      </w:pPr>
    </w:p>
    <w:p>
      <w:pPr>
        <w:numPr>
          <w:ilvl w:val="0"/>
          <w:numId w:val="11"/>
        </w:numPr>
        <w:spacing w:line="360" w:lineRule="auto"/>
        <w:ind w:firstLine="482" w:firstLineChars="200"/>
        <w:jc w:val="left"/>
        <w:outlineLvl w:val="1"/>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ind w:firstLine="482" w:firstLineChars="200"/>
        <w:outlineLvl w:val="2"/>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杭银理财有限责任公司简称杭银理财，官网网站为https://www.hzbankwealth.com.cn</w:t>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rPr>
        <w:t>。</w:t>
      </w:r>
    </w:p>
    <w:p>
      <w:pPr>
        <w:pStyle w:val="17"/>
        <w:numPr>
          <w:ilvl w:val="0"/>
          <w:numId w:val="13"/>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auto"/>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rPr>
        <w:t>，客服热线为95398。</w:t>
      </w:r>
    </w:p>
    <w:p>
      <w:pPr>
        <w:pStyle w:val="17"/>
        <w:numPr>
          <w:ilvl w:val="0"/>
          <w:numId w:val="13"/>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cs="宋体"/>
          <w:bCs/>
          <w:color w:val="auto"/>
          <w:kern w:val="2"/>
          <w:highlight w:val="none"/>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指对管理人（包括本理财计划管理人、所投资的的信托计划/资管计划的管理人/受托人、相关投资顾问等）实施监督管理的机构，包括但不限于中国人民银行、</w:t>
      </w:r>
      <w:r>
        <w:rPr>
          <w:rFonts w:hint="eastAsia" w:ascii="宋体" w:hAnsi="宋体" w:cs="宋体"/>
          <w:bCs/>
          <w:color w:val="auto"/>
          <w:kern w:val="2"/>
          <w:highlight w:val="none"/>
          <w:lang w:val="en-US"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ind w:firstLine="482" w:firstLineChars="200"/>
        <w:outlineLvl w:val="2"/>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理财计划说明书/产品说明书：</w:t>
      </w:r>
      <w:r>
        <w:rPr>
          <w:rFonts w:hint="eastAsia" w:ascii="宋体" w:hAnsi="宋体" w:cs="宋体"/>
          <w:bCs/>
          <w:color w:val="auto"/>
          <w:kern w:val="2"/>
          <w:highlight w:val="none"/>
        </w:rPr>
        <w:t>指《杭银理财幸福99</w:t>
      </w:r>
      <w:r>
        <w:rPr>
          <w:rFonts w:hint="eastAsia" w:ascii="宋体" w:hAnsi="宋体" w:cs="宋体"/>
          <w:bCs/>
          <w:highlight w:val="none"/>
          <w:lang w:eastAsia="zh-CN"/>
        </w:rPr>
        <w:t>添益(安享优选)28天持有期理财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指作为杭银理财幸福99</w:t>
      </w:r>
      <w:r>
        <w:rPr>
          <w:rFonts w:hint="eastAsia" w:ascii="宋体" w:hAnsi="宋体" w:cs="宋体"/>
          <w:bCs/>
          <w:highlight w:val="none"/>
          <w:lang w:eastAsia="zh-CN"/>
        </w:rPr>
        <w:t>添益(安享优选)28天持有期理财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指作为杭银理财幸福99</w:t>
      </w:r>
      <w:r>
        <w:rPr>
          <w:rFonts w:hint="eastAsia" w:ascii="宋体" w:hAnsi="宋体" w:cs="宋体"/>
          <w:bCs/>
          <w:highlight w:val="none"/>
          <w:lang w:eastAsia="zh-CN"/>
        </w:rPr>
        <w:t>添益(安享优选)28天持有期理财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理财计划投资协议书：</w:t>
      </w:r>
      <w:r>
        <w:rPr>
          <w:rFonts w:hint="eastAsia" w:ascii="宋体" w:hAnsi="宋体" w:cs="宋体"/>
          <w:bCs/>
          <w:color w:val="auto"/>
          <w:kern w:val="2"/>
          <w:highlight w:val="none"/>
        </w:rPr>
        <w:t>指作为杭银理财幸福99</w:t>
      </w:r>
      <w:r>
        <w:rPr>
          <w:rFonts w:hint="eastAsia" w:ascii="宋体" w:hAnsi="宋体" w:cs="宋体"/>
          <w:bCs/>
          <w:highlight w:val="none"/>
          <w:lang w:eastAsia="zh-CN"/>
        </w:rPr>
        <w:t>添益(安享优选)28天持有期理财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理财计划销售协议书：</w:t>
      </w:r>
      <w:r>
        <w:rPr>
          <w:rFonts w:hint="eastAsia" w:ascii="宋体" w:hAnsi="宋体" w:cs="宋体"/>
          <w:bCs/>
          <w:color w:val="auto"/>
          <w:kern w:val="2"/>
          <w:highlight w:val="none"/>
          <w:lang w:eastAsia="zh-CN"/>
        </w:rPr>
        <w:t>指作为杭银理财幸福</w:t>
      </w:r>
      <w:r>
        <w:rPr>
          <w:rFonts w:hint="eastAsia" w:ascii="宋体" w:hAnsi="宋体" w:cs="宋体"/>
          <w:bCs/>
          <w:color w:val="auto"/>
          <w:kern w:val="2"/>
          <w:highlight w:val="none"/>
          <w:lang w:val="en-US" w:eastAsia="zh-CN"/>
        </w:rPr>
        <w:t>99添益(安享优选)28天持有期理财合同不可分割组成部分的理财计划销售协议书，以及对该文件的有效修改与补充。</w:t>
      </w:r>
    </w:p>
    <w:p>
      <w:pPr>
        <w:pStyle w:val="17"/>
        <w:numPr>
          <w:ilvl w:val="0"/>
          <w:numId w:val="14"/>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理财计划合同/销售文件：</w:t>
      </w:r>
      <w:r>
        <w:rPr>
          <w:rFonts w:hint="eastAsia" w:ascii="宋体" w:hAnsi="宋体" w:cs="宋体"/>
          <w:bCs/>
          <w:color w:val="auto"/>
          <w:kern w:val="2"/>
          <w:highlight w:val="none"/>
        </w:rPr>
        <w:t>指《理财计划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理财计划产品说明书</w:t>
      </w:r>
      <w:r>
        <w:rPr>
          <w:rFonts w:hint="eastAsia" w:ascii="宋体" w:hAnsi="宋体" w:cs="宋体"/>
          <w:bCs/>
          <w:color w:val="auto"/>
          <w:kern w:val="2"/>
          <w:highlight w:val="none"/>
        </w:rPr>
        <w:t>》《投资者权益须知》《理财计划投资协议书》</w:t>
      </w:r>
      <w:r>
        <w:rPr>
          <w:rFonts w:hint="eastAsia" w:ascii="宋体" w:hAnsi="宋体" w:cs="宋体"/>
          <w:bCs/>
          <w:color w:val="auto"/>
          <w:kern w:val="2"/>
          <w:highlight w:val="none"/>
          <w:lang w:eastAsia="zh-CN"/>
        </w:rPr>
        <w:t>《理财计划销售协议书》五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ind w:firstLine="482" w:firstLineChars="200"/>
        <w:outlineLvl w:val="2"/>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指杭银理财幸福99</w:t>
      </w:r>
      <w:r>
        <w:rPr>
          <w:rFonts w:hint="eastAsia" w:ascii="宋体" w:hAnsi="宋体" w:cs="宋体"/>
          <w:bCs/>
          <w:highlight w:val="none"/>
          <w:lang w:eastAsia="zh-CN"/>
        </w:rPr>
        <w:t>添益(安享优选)28天持有期理财</w:t>
      </w:r>
      <w:r>
        <w:rPr>
          <w:rFonts w:hint="eastAsia" w:ascii="宋体" w:hAnsi="宋体" w:cs="宋体"/>
          <w:bCs/>
          <w:highlight w:val="none"/>
        </w:rPr>
        <w:t>。</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指上海证券交易所、深圳证券交易所的正常交易日。</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持有期：</w:t>
      </w:r>
      <w:r>
        <w:rPr>
          <w:rFonts w:hint="eastAsia" w:ascii="宋体" w:hAnsi="宋体" w:cs="宋体"/>
          <w:bCs/>
          <w:color w:val="auto"/>
          <w:kern w:val="2"/>
          <w:highlight w:val="none"/>
        </w:rPr>
        <w:t>指投资者认购</w:t>
      </w:r>
      <w:r>
        <w:rPr>
          <w:rFonts w:hint="eastAsia" w:ascii="宋体" w:hAnsi="宋体" w:cs="宋体"/>
          <w:bCs/>
          <w:color w:val="auto"/>
          <w:kern w:val="2"/>
          <w:highlight w:val="none"/>
          <w:lang w:val="en-US" w:eastAsia="zh-CN"/>
        </w:rPr>
        <w:t>或</w:t>
      </w:r>
      <w:r>
        <w:rPr>
          <w:rFonts w:hint="eastAsia" w:ascii="宋体" w:hAnsi="宋体" w:cs="宋体"/>
          <w:bCs/>
          <w:color w:val="auto"/>
          <w:kern w:val="2"/>
          <w:highlight w:val="none"/>
        </w:rPr>
        <w:t>申购份额后，需持有固定期限后才可进行赎回。</w:t>
      </w:r>
    </w:p>
    <w:p>
      <w:pPr>
        <w:pStyle w:val="17"/>
        <w:numPr>
          <w:ilvl w:val="0"/>
          <w:numId w:val="15"/>
        </w:numPr>
        <w:adjustRightInd/>
        <w:spacing w:line="360" w:lineRule="auto"/>
        <w:ind w:left="0"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投资周期</w:t>
      </w:r>
      <w:r>
        <w:rPr>
          <w:rFonts w:hint="eastAsia" w:ascii="宋体" w:hAnsi="宋体" w:cs="宋体"/>
          <w:b/>
          <w:color w:val="auto"/>
          <w:kern w:val="2"/>
          <w:highlight w:val="none"/>
          <w:lang w:eastAsia="zh-CN"/>
        </w:rPr>
        <w:t>：</w:t>
      </w:r>
      <w:r>
        <w:rPr>
          <w:rFonts w:hint="eastAsia" w:ascii="宋体" w:hAnsi="宋体" w:cs="宋体"/>
          <w:b w:val="0"/>
          <w:bCs/>
          <w:color w:val="auto"/>
          <w:kern w:val="2"/>
          <w:highlight w:val="none"/>
          <w:lang w:eastAsia="zh-CN"/>
        </w:rPr>
        <w:t>指理财计划成立或申购</w:t>
      </w:r>
      <w:r>
        <w:rPr>
          <w:rFonts w:hint="eastAsia" w:ascii="宋体" w:hAnsi="宋体" w:cs="宋体"/>
          <w:b w:val="0"/>
          <w:bCs/>
          <w:color w:val="auto"/>
          <w:kern w:val="2"/>
          <w:highlight w:val="none"/>
          <w:lang w:val="en-US" w:eastAsia="zh-CN"/>
        </w:rPr>
        <w:t>/赎回</w:t>
      </w:r>
      <w:r>
        <w:rPr>
          <w:rFonts w:hint="eastAsia" w:ascii="宋体" w:hAnsi="宋体" w:cs="宋体"/>
          <w:b w:val="0"/>
          <w:bCs/>
          <w:color w:val="auto"/>
          <w:kern w:val="2"/>
          <w:highlight w:val="none"/>
          <w:lang w:eastAsia="zh-CN"/>
        </w:rPr>
        <w:t>开放期确认后，至下一个申购</w:t>
      </w:r>
      <w:r>
        <w:rPr>
          <w:rFonts w:hint="eastAsia" w:ascii="宋体" w:hAnsi="宋体" w:cs="宋体"/>
          <w:b w:val="0"/>
          <w:bCs/>
          <w:color w:val="auto"/>
          <w:kern w:val="2"/>
          <w:highlight w:val="none"/>
          <w:lang w:val="en-US" w:eastAsia="zh-CN"/>
        </w:rPr>
        <w:t>/赎回开放期确认前的时间。如申购和赎回开放期确认时间不一致，应明确以申购投资周期或赎回投资周期作为理财计划的投资周期。</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申购和赎回开放期等日期安排发生变化的，原则上采用顺延方式对原定日期进行调整，如有特殊安排，以管理人对外披露的公告为准。</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开放日：</w:t>
      </w:r>
      <w:r>
        <w:rPr>
          <w:rFonts w:hint="eastAsia" w:ascii="宋体" w:hAnsi="宋体" w:cs="宋体"/>
          <w:bCs/>
          <w:color w:val="auto"/>
          <w:kern w:val="2"/>
          <w:highlight w:val="none"/>
        </w:rPr>
        <w:t>指为投资者办理申购、赎回交易的日期。</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highlight w:val="none"/>
        </w:rPr>
        <w:t>开放期：</w:t>
      </w:r>
      <w:r>
        <w:rPr>
          <w:rFonts w:hint="eastAsia" w:ascii="宋体" w:hAnsi="宋体" w:cs="宋体"/>
          <w:bCs/>
          <w:highlight w:val="none"/>
        </w:rPr>
        <w:t>指管理人向投资者提供申购、赎回交易的时间。</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确认日：</w:t>
      </w:r>
      <w:r>
        <w:rPr>
          <w:rFonts w:hint="eastAsia" w:ascii="宋体" w:hAnsi="宋体" w:cs="宋体"/>
          <w:bCs/>
          <w:color w:val="auto"/>
          <w:kern w:val="2"/>
          <w:highlight w:val="none"/>
        </w:rPr>
        <w:t>指管理人确认投资者申购、赎回交易是否有效的日期。</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申购：</w:t>
      </w:r>
      <w:r>
        <w:rPr>
          <w:rFonts w:hint="eastAsia" w:ascii="宋体" w:hAnsi="宋体" w:cs="宋体"/>
          <w:bCs/>
          <w:color w:val="auto"/>
          <w:kern w:val="2"/>
          <w:highlight w:val="none"/>
        </w:rPr>
        <w:t>指理财计划申购开放期内，投资者向管理人进行理财计划份额购买的行为。</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赎回：</w:t>
      </w:r>
      <w:r>
        <w:rPr>
          <w:rFonts w:hint="eastAsia" w:ascii="宋体" w:hAnsi="宋体" w:cs="宋体"/>
          <w:bCs/>
          <w:color w:val="auto"/>
          <w:kern w:val="2"/>
          <w:highlight w:val="none"/>
        </w:rPr>
        <w:t>指理财计划</w:t>
      </w:r>
      <w:r>
        <w:rPr>
          <w:rFonts w:hint="eastAsia" w:ascii="宋体" w:hAnsi="宋体" w:cs="宋体"/>
          <w:bCs/>
          <w:color w:val="auto"/>
          <w:kern w:val="2"/>
          <w:highlight w:val="none"/>
          <w:lang w:eastAsia="zh-CN"/>
        </w:rPr>
        <w:t>赎回</w:t>
      </w:r>
      <w:r>
        <w:rPr>
          <w:rFonts w:hint="eastAsia" w:ascii="宋体" w:hAnsi="宋体" w:cs="宋体"/>
          <w:bCs/>
          <w:color w:val="auto"/>
          <w:kern w:val="2"/>
          <w:highlight w:val="none"/>
        </w:rPr>
        <w:t>开放期内，投资者向管理人进行理财计划份额卖出的行为。</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流</w:t>
      </w:r>
      <w:r>
        <w:rPr>
          <w:rFonts w:hint="eastAsia"/>
          <w:b/>
          <w:bCs w:val="0"/>
          <w:highlight w:val="none"/>
          <w:lang w:val="en-US" w:eastAsia="zh-CN"/>
        </w:rPr>
        <w:t>动性受限资产：</w:t>
      </w:r>
      <w:r>
        <w:rPr>
          <w:rFonts w:hint="eastAsia"/>
          <w:highlight w:val="none"/>
          <w:lang w:val="en-US" w:eastAsia="zh-CN"/>
        </w:rPr>
        <w:t>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ind w:firstLine="482" w:firstLineChars="200"/>
        <w:rPr>
          <w:rFonts w:hint="eastAsia" w:ascii="宋体" w:hAnsi="宋体" w:cs="宋体"/>
          <w:b/>
          <w:color w:val="auto"/>
          <w:kern w:val="2"/>
          <w:highlight w:val="none"/>
        </w:rPr>
      </w:pPr>
      <w:r>
        <w:rPr>
          <w:rFonts w:hint="eastAsia"/>
          <w:b/>
          <w:bCs/>
          <w:highlight w:val="none"/>
          <w:lang w:val="en-US" w:eastAsia="zh-CN"/>
        </w:rPr>
        <w:t>7个工作日可变现资产：</w:t>
      </w:r>
      <w:r>
        <w:rPr>
          <w:rFonts w:hint="eastAsia"/>
          <w:highlight w:val="none"/>
          <w:lang w:val="en-US" w:eastAsia="zh-CN"/>
        </w:rPr>
        <w:t>包括但不限于可在交易所、银行间市场正常交易的股票、债券、非金融企业债务融资工具、期货及期权合约以及同业存单，7个工作日内到期或可支取的买入返售、银行存款，7个工作日内能够确认收到的各类应收款项等。</w:t>
      </w:r>
    </w:p>
    <w:p>
      <w:pPr>
        <w:pStyle w:val="17"/>
        <w:numPr>
          <w:ilvl w:val="0"/>
          <w:numId w:val="12"/>
        </w:numPr>
        <w:adjustRightInd/>
        <w:spacing w:line="360" w:lineRule="auto"/>
        <w:ind w:firstLine="482" w:firstLineChars="200"/>
        <w:outlineLvl w:val="2"/>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ind w:firstLine="482" w:firstLineChars="200"/>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0"/>
        </w:numPr>
        <w:adjustRightInd/>
        <w:spacing w:line="360" w:lineRule="auto"/>
        <w:rPr>
          <w:rFonts w:hint="eastAsia" w:ascii="宋体" w:hAnsi="宋体" w:cs="宋体"/>
          <w:b/>
          <w:color w:val="auto"/>
          <w:kern w:val="2"/>
          <w:highlight w:val="none"/>
        </w:rPr>
      </w:pPr>
    </w:p>
    <w:p>
      <w:pPr>
        <w:pStyle w:val="17"/>
        <w:numPr>
          <w:ilvl w:val="0"/>
          <w:numId w:val="18"/>
        </w:numPr>
        <w:adjustRightInd/>
        <w:spacing w:line="360" w:lineRule="auto"/>
        <w:ind w:firstLine="482" w:firstLineChars="200"/>
        <w:outlineLvl w:val="1"/>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本理财计划的风险等级为〖R</w:t>
      </w:r>
      <w:r>
        <w:rPr>
          <w:rFonts w:hint="eastAsia" w:ascii="宋体" w:hAnsi="宋体" w:cs="宋体"/>
          <w:b/>
          <w:color w:val="auto"/>
          <w:kern w:val="2"/>
          <w:highlight w:val="none"/>
          <w:lang w:val="en-US" w:eastAsia="zh-CN"/>
        </w:rPr>
        <w:t>2</w:t>
      </w:r>
      <w:r>
        <w:rPr>
          <w:rFonts w:hint="eastAsia" w:ascii="宋体" w:hAnsi="宋体" w:cs="宋体"/>
          <w:b/>
          <w:color w:val="auto"/>
          <w:kern w:val="2"/>
          <w:highlight w:val="none"/>
        </w:rPr>
        <w:t>〗，〖</w:t>
      </w:r>
      <w:r>
        <w:rPr>
          <w:rFonts w:hint="eastAsia" w:ascii="宋体" w:hAnsi="宋体" w:cs="宋体"/>
          <w:b/>
          <w:color w:val="auto"/>
          <w:kern w:val="2"/>
          <w:highlight w:val="none"/>
          <w:lang w:val="en-US" w:eastAsia="zh-CN"/>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11"/>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
                <w:bCs w:val="0"/>
                <w:color w:val="auto"/>
                <w:kern w:val="2"/>
                <w:highlight w:val="none"/>
              </w:rPr>
            </w:pPr>
            <w:r>
              <w:rPr>
                <w:rFonts w:hint="eastAsia" w:ascii="宋体" w:hAnsi="宋体" w:cs="宋体"/>
                <w:b/>
                <w:bCs w:val="0"/>
                <w:color w:val="auto"/>
                <w:kern w:val="2"/>
                <w:highlight w:val="none"/>
              </w:rPr>
              <w:t>R2</w:t>
            </w:r>
          </w:p>
        </w:tc>
        <w:tc>
          <w:tcPr>
            <w:tcW w:w="1382" w:type="dxa"/>
            <w:noWrap w:val="0"/>
            <w:vAlign w:val="top"/>
          </w:tcPr>
          <w:p>
            <w:pPr>
              <w:pStyle w:val="17"/>
              <w:adjustRightInd/>
              <w:spacing w:line="360" w:lineRule="auto"/>
              <w:jc w:val="center"/>
              <w:rPr>
                <w:rFonts w:ascii="宋体" w:hAnsi="宋体" w:cs="宋体"/>
                <w:b/>
                <w:bCs w:val="0"/>
                <w:color w:val="auto"/>
                <w:kern w:val="2"/>
                <w:highlight w:val="none"/>
              </w:rPr>
            </w:pPr>
            <w:r>
              <w:rPr>
                <w:rFonts w:hint="eastAsia" w:ascii="宋体" w:hAnsi="宋体" w:cs="宋体"/>
                <w:b/>
                <w:bCs w:val="0"/>
                <w:color w:val="auto"/>
                <w:kern w:val="2"/>
                <w:highlight w:val="none"/>
              </w:rPr>
              <w:t>中低</w:t>
            </w:r>
          </w:p>
        </w:tc>
        <w:tc>
          <w:tcPr>
            <w:tcW w:w="4755" w:type="dxa"/>
            <w:noWrap w:val="0"/>
            <w:vAlign w:val="top"/>
          </w:tcPr>
          <w:p>
            <w:pPr>
              <w:pStyle w:val="17"/>
              <w:adjustRightInd/>
              <w:spacing w:line="360" w:lineRule="auto"/>
              <w:jc w:val="center"/>
              <w:rPr>
                <w:rFonts w:ascii="宋体" w:hAnsi="宋体" w:cs="宋体"/>
                <w:b/>
                <w:bCs w:val="0"/>
                <w:color w:val="auto"/>
                <w:kern w:val="2"/>
                <w:highlight w:val="none"/>
              </w:rPr>
            </w:pPr>
            <w:r>
              <w:rPr>
                <w:rFonts w:hint="eastAsia" w:ascii="宋体" w:hAnsi="宋体" w:cs="宋体"/>
                <w:b/>
                <w:bCs w:val="0"/>
                <w:color w:val="auto"/>
                <w:kern w:val="2"/>
                <w:highlight w:val="none"/>
              </w:rPr>
              <w:t>稳健型</w:t>
            </w:r>
            <w:r>
              <w:rPr>
                <w:rFonts w:hint="eastAsia" w:ascii="宋体" w:hAnsi="宋体" w:cs="宋体"/>
                <w:b/>
                <w:bCs w:val="0"/>
                <w:color w:val="auto"/>
                <w:kern w:val="2"/>
                <w:highlight w:val="none"/>
                <w:lang w:eastAsia="zh-CN"/>
              </w:rPr>
              <w:t>、</w:t>
            </w:r>
            <w:r>
              <w:rPr>
                <w:rFonts w:hint="eastAsia" w:ascii="宋体" w:hAnsi="宋体" w:cs="宋体"/>
                <w:b/>
                <w:bCs w:val="0"/>
                <w:color w:val="auto"/>
                <w:kern w:val="2"/>
                <w:highlight w:val="none"/>
              </w:rPr>
              <w:t>平衡型</w:t>
            </w:r>
            <w:r>
              <w:rPr>
                <w:rFonts w:hint="eastAsia" w:ascii="宋体" w:hAnsi="宋体" w:cs="宋体"/>
                <w:b/>
                <w:bCs w:val="0"/>
                <w:color w:val="auto"/>
                <w:kern w:val="2"/>
                <w:highlight w:val="none"/>
                <w:lang w:eastAsia="zh-CN"/>
              </w:rPr>
              <w:t>、成长</w:t>
            </w:r>
            <w:r>
              <w:rPr>
                <w:rFonts w:hint="eastAsia" w:ascii="宋体" w:hAnsi="宋体" w:cs="宋体"/>
                <w:b/>
                <w:bCs w:val="0"/>
                <w:color w:val="auto"/>
                <w:kern w:val="2"/>
                <w:highlight w:val="none"/>
              </w:rPr>
              <w:t>型</w:t>
            </w:r>
            <w:r>
              <w:rPr>
                <w:rFonts w:hint="eastAsia" w:ascii="宋体" w:hAnsi="宋体" w:cs="宋体"/>
                <w:b/>
                <w:bCs w:val="0"/>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 w:val="0"/>
                <w:bCs/>
                <w:color w:val="auto"/>
                <w:kern w:val="2"/>
                <w:highlight w:val="none"/>
              </w:rPr>
            </w:pPr>
            <w:r>
              <w:rPr>
                <w:rFonts w:hint="eastAsia" w:ascii="宋体" w:hAnsi="宋体" w:cs="宋体"/>
                <w:b w:val="0"/>
                <w:bCs/>
                <w:color w:val="auto"/>
                <w:kern w:val="2"/>
                <w:highlight w:val="none"/>
              </w:rPr>
              <w:t>R3</w:t>
            </w:r>
          </w:p>
        </w:tc>
        <w:tc>
          <w:tcPr>
            <w:tcW w:w="1382" w:type="dxa"/>
            <w:noWrap w:val="0"/>
            <w:vAlign w:val="top"/>
          </w:tcPr>
          <w:p>
            <w:pPr>
              <w:pStyle w:val="17"/>
              <w:adjustRightInd/>
              <w:spacing w:line="360" w:lineRule="auto"/>
              <w:jc w:val="center"/>
              <w:rPr>
                <w:rFonts w:ascii="宋体" w:hAnsi="宋体" w:cs="宋体"/>
                <w:b w:val="0"/>
                <w:bCs/>
                <w:color w:val="auto"/>
                <w:kern w:val="2"/>
                <w:highlight w:val="none"/>
              </w:rPr>
            </w:pPr>
            <w:r>
              <w:rPr>
                <w:rFonts w:hint="eastAsia" w:ascii="宋体" w:hAnsi="宋体" w:cs="宋体"/>
                <w:b w:val="0"/>
                <w:bCs/>
                <w:color w:val="auto"/>
                <w:kern w:val="2"/>
                <w:highlight w:val="none"/>
              </w:rPr>
              <w:t>中</w:t>
            </w:r>
          </w:p>
        </w:tc>
        <w:tc>
          <w:tcPr>
            <w:tcW w:w="4755" w:type="dxa"/>
            <w:noWrap w:val="0"/>
            <w:vAlign w:val="top"/>
          </w:tcPr>
          <w:p>
            <w:pPr>
              <w:pStyle w:val="17"/>
              <w:adjustRightInd/>
              <w:spacing w:line="360" w:lineRule="auto"/>
              <w:jc w:val="center"/>
              <w:rPr>
                <w:rFonts w:ascii="宋体" w:hAnsi="宋体" w:cs="宋体"/>
                <w:b w:val="0"/>
                <w:bCs/>
                <w:color w:val="auto"/>
                <w:kern w:val="2"/>
                <w:highlight w:val="none"/>
              </w:rPr>
            </w:pPr>
            <w:r>
              <w:rPr>
                <w:rFonts w:hint="eastAsia" w:ascii="宋体" w:hAnsi="宋体" w:cs="宋体"/>
                <w:b w:val="0"/>
                <w:bCs/>
                <w:color w:val="auto"/>
                <w:kern w:val="2"/>
                <w:highlight w:val="none"/>
              </w:rPr>
              <w:t>平衡型</w:t>
            </w:r>
            <w:r>
              <w:rPr>
                <w:rFonts w:hint="eastAsia" w:ascii="宋体" w:hAnsi="宋体" w:cs="宋体"/>
                <w:b w:val="0"/>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adjustRightInd/>
              <w:spacing w:line="360" w:lineRule="auto"/>
              <w:jc w:val="center"/>
              <w:rPr>
                <w:rFonts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ascii="宋体" w:hAnsi="宋体" w:cs="宋体"/>
          <w:bCs/>
          <w:color w:val="auto"/>
          <w:kern w:val="2"/>
          <w:highlight w:val="none"/>
        </w:rPr>
      </w:pPr>
      <w:r>
        <w:rPr>
          <w:rFonts w:hint="eastAsia" w:ascii="宋体" w:hAnsi="宋体" w:cs="宋体"/>
          <w:bCs/>
          <w:color w:val="auto"/>
          <w:kern w:val="2"/>
          <w:highlight w:val="none"/>
        </w:rPr>
        <w:t>投资者风险承受能力评级水平以销售机构评估为准。</w:t>
      </w:r>
    </w:p>
    <w:p>
      <w:pPr>
        <w:pStyle w:val="17"/>
        <w:adjustRightInd/>
        <w:spacing w:line="360" w:lineRule="auto"/>
        <w:rPr>
          <w:rFonts w:hint="eastAsia" w:ascii="宋体" w:hAnsi="宋体" w:cs="宋体"/>
          <w:b/>
          <w:color w:val="auto"/>
          <w:kern w:val="2"/>
          <w:highlight w:val="none"/>
        </w:rPr>
      </w:pPr>
    </w:p>
    <w:p>
      <w:pPr>
        <w:pStyle w:val="17"/>
        <w:numPr>
          <w:ilvl w:val="0"/>
          <w:numId w:val="18"/>
        </w:numPr>
        <w:adjustRightInd/>
        <w:spacing w:line="360" w:lineRule="auto"/>
        <w:outlineLvl w:val="1"/>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11"/>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产品名称</w:t>
            </w:r>
          </w:p>
        </w:tc>
        <w:tc>
          <w:tcPr>
            <w:tcW w:w="7185" w:type="dxa"/>
            <w:noWrap w:val="0"/>
            <w:vAlign w:val="center"/>
          </w:tcPr>
          <w:p>
            <w:pPr>
              <w:widowControl/>
              <w:spacing w:line="360" w:lineRule="auto"/>
              <w:contextualSpacing/>
              <w:rPr>
                <w:rFonts w:hint="eastAsia" w:ascii="宋体" w:hAnsi="宋体" w:eastAsia="宋体" w:cs="宋体"/>
                <w:color w:val="000000"/>
                <w:sz w:val="21"/>
                <w:szCs w:val="21"/>
                <w:highlight w:val="none"/>
                <w:lang w:eastAsia="zh-CN"/>
              </w:rPr>
            </w:pPr>
            <w:r>
              <w:rPr>
                <w:rFonts w:hint="eastAsia" w:ascii="宋体" w:hAnsi="宋体" w:cs="宋体"/>
                <w:sz w:val="21"/>
                <w:szCs w:val="21"/>
                <w:highlight w:val="none"/>
              </w:rPr>
              <w:t>杭银理财幸福99</w:t>
            </w:r>
            <w:r>
              <w:rPr>
                <w:rFonts w:hint="eastAsia" w:ascii="宋体" w:hAnsi="宋体" w:cs="宋体"/>
                <w:sz w:val="21"/>
                <w:szCs w:val="21"/>
                <w:highlight w:val="none"/>
                <w:lang w:eastAsia="zh-CN"/>
              </w:rPr>
              <w:t>添益(安享优选)28天持有期理财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产品简称</w:t>
            </w:r>
          </w:p>
        </w:tc>
        <w:tc>
          <w:tcPr>
            <w:tcW w:w="7185" w:type="dxa"/>
            <w:noWrap w:val="0"/>
            <w:vAlign w:val="center"/>
          </w:tcPr>
          <w:p>
            <w:pPr>
              <w:widowControl/>
              <w:spacing w:line="360" w:lineRule="auto"/>
              <w:contextualSpacing/>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添益(安享优选)28天持有期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cs="宋体"/>
                <w:sz w:val="21"/>
                <w:szCs w:val="21"/>
                <w:highlight w:val="none"/>
              </w:rPr>
            </w:pPr>
            <w:r>
              <w:rPr>
                <w:rFonts w:hint="eastAsia" w:ascii="宋体" w:hAnsi="宋体" w:cs="宋体"/>
                <w:sz w:val="21"/>
                <w:szCs w:val="21"/>
                <w:highlight w:val="none"/>
              </w:rPr>
              <w:t>产品编号</w:t>
            </w:r>
          </w:p>
        </w:tc>
        <w:tc>
          <w:tcPr>
            <w:tcW w:w="7185" w:type="dxa"/>
            <w:noWrap w:val="0"/>
            <w:vAlign w:val="center"/>
          </w:tcPr>
          <w:p>
            <w:pPr>
              <w:widowControl/>
              <w:spacing w:line="360" w:lineRule="auto"/>
              <w:contextualSpacing/>
              <w:rPr>
                <w:rFonts w:ascii="宋体" w:hAnsi="宋体" w:cs="宋体"/>
                <w:color w:val="000000"/>
                <w:sz w:val="21"/>
                <w:szCs w:val="21"/>
                <w:highlight w:val="none"/>
              </w:rPr>
            </w:pPr>
            <w:r>
              <w:rPr>
                <w:rFonts w:hint="eastAsia" w:ascii="宋体" w:hAnsi="宋体" w:cs="宋体"/>
                <w:sz w:val="21"/>
                <w:szCs w:val="21"/>
                <w:highlight w:val="none"/>
              </w:rPr>
              <w:t>〖</w:t>
            </w:r>
            <w:r>
              <w:rPr>
                <w:rFonts w:hint="eastAsia" w:ascii="宋体" w:hAnsi="宋体" w:cs="宋体"/>
                <w:color w:val="000000"/>
                <w:sz w:val="21"/>
                <w:szCs w:val="21"/>
                <w:highlight w:val="none"/>
                <w:lang w:val="en-US" w:eastAsia="zh-CN"/>
              </w:rPr>
              <w:t>TYGC28D2401</w:t>
            </w:r>
            <w:r>
              <w:rPr>
                <w:rFonts w:hint="eastAsia" w:ascii="宋体" w:hAnsi="宋体" w:cs="宋体"/>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登记编码</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本理财计划在全国银行业理财信息登记系统的登记编码是〖Z7002224000013〗，投资者可依据该编码在“中国理财网（www.chinawealth.com.cn）”查询本理财计划信息。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发行对象</w:t>
            </w:r>
          </w:p>
        </w:tc>
        <w:tc>
          <w:tcPr>
            <w:tcW w:w="7185" w:type="dxa"/>
            <w:noWrap w:val="0"/>
            <w:vAlign w:val="center"/>
          </w:tcPr>
          <w:p>
            <w:pPr>
              <w:widowControl/>
              <w:spacing w:line="360" w:lineRule="auto"/>
              <w:contextualSpacing/>
              <w:rPr>
                <w:rFonts w:hint="eastAsia" w:ascii="宋体" w:hAnsi="宋体" w:cs="宋体"/>
                <w:b w:val="0"/>
                <w:color w:val="000000"/>
                <w:sz w:val="21"/>
                <w:szCs w:val="21"/>
                <w:highlight w:val="none"/>
              </w:rPr>
            </w:pPr>
            <w:r>
              <w:rPr>
                <w:rFonts w:hint="eastAsia" w:ascii="宋体" w:hAnsi="宋体" w:cs="宋体"/>
                <w:color w:val="000000"/>
                <w:sz w:val="21"/>
                <w:szCs w:val="21"/>
                <w:highlight w:val="none"/>
              </w:rPr>
              <w:t>本理财计划适合</w:t>
            </w:r>
            <w:r>
              <w:rPr>
                <w:rFonts w:hint="eastAsia" w:ascii="宋体" w:hAnsi="宋体" w:cs="宋体"/>
                <w:b/>
                <w:sz w:val="21"/>
                <w:szCs w:val="21"/>
                <w:highlight w:val="none"/>
              </w:rPr>
              <w:t>〖</w:t>
            </w:r>
            <w:r>
              <w:rPr>
                <w:rFonts w:hint="eastAsia" w:ascii="宋体" w:hAnsi="宋体" w:cs="宋体"/>
                <w:b/>
                <w:color w:val="000000"/>
                <w:sz w:val="21"/>
                <w:szCs w:val="21"/>
                <w:highlight w:val="none"/>
              </w:rPr>
              <w:t>机构投资者</w:t>
            </w:r>
            <w:r>
              <w:rPr>
                <w:rFonts w:hint="eastAsia" w:ascii="宋体" w:hAnsi="宋体" w:cs="宋体"/>
                <w:b/>
                <w:sz w:val="21"/>
                <w:szCs w:val="21"/>
                <w:highlight w:val="none"/>
              </w:rPr>
              <w:t>〗</w:t>
            </w:r>
            <w:r>
              <w:rPr>
                <w:rFonts w:hint="eastAsia" w:ascii="宋体" w:hAnsi="宋体" w:cs="宋体"/>
                <w:b/>
                <w:color w:val="000000"/>
                <w:sz w:val="21"/>
                <w:szCs w:val="21"/>
                <w:highlight w:val="none"/>
              </w:rPr>
              <w:t>以及〖</w:t>
            </w:r>
            <w:r>
              <w:rPr>
                <w:rFonts w:hint="eastAsia" w:ascii="宋体" w:hAnsi="宋体" w:cs="宋体"/>
                <w:b/>
                <w:color w:val="000000"/>
                <w:sz w:val="21"/>
                <w:szCs w:val="21"/>
                <w:highlight w:val="none"/>
                <w:lang w:val="en-US" w:eastAsia="zh-CN"/>
              </w:rPr>
              <w:t>稳健型、</w:t>
            </w:r>
            <w:r>
              <w:rPr>
                <w:rFonts w:hint="eastAsia" w:ascii="宋体" w:hAnsi="宋体" w:cs="宋体"/>
                <w:b/>
                <w:color w:val="000000"/>
                <w:sz w:val="21"/>
                <w:szCs w:val="21"/>
                <w:highlight w:val="none"/>
              </w:rPr>
              <w:t>平衡型、成长型、进取型〗的个人投资者。</w:t>
            </w:r>
            <w:r>
              <w:rPr>
                <w:rFonts w:hint="eastAsia" w:ascii="宋体" w:hAnsi="宋体" w:cs="宋体"/>
                <w:bCs w:val="0"/>
                <w:color w:val="000000"/>
                <w:sz w:val="21"/>
                <w:szCs w:val="21"/>
                <w:highlight w:val="none"/>
              </w:rPr>
              <w:t>投资者风险承受能力评级水平以销售机构评估为准。</w:t>
            </w:r>
          </w:p>
          <w:p>
            <w:pPr>
              <w:widowControl/>
              <w:spacing w:line="360" w:lineRule="auto"/>
              <w:contextualSpacing/>
              <w:rPr>
                <w:rFonts w:hint="eastAsia" w:ascii="宋体" w:hAnsi="宋体" w:cs="宋体"/>
                <w:b w:val="0"/>
                <w:bCs/>
                <w:color w:val="000000"/>
                <w:sz w:val="21"/>
                <w:szCs w:val="21"/>
                <w:highlight w:val="none"/>
                <w:lang w:eastAsia="zh-CN"/>
              </w:rPr>
            </w:pPr>
            <w:r>
              <w:rPr>
                <w:rFonts w:hint="eastAsia" w:ascii="宋体" w:hAnsi="宋体" w:cs="宋体"/>
                <w:b w:val="0"/>
                <w:bCs/>
                <w:color w:val="000000"/>
                <w:sz w:val="21"/>
                <w:szCs w:val="21"/>
                <w:highlight w:val="none"/>
                <w:lang w:eastAsia="zh-CN"/>
              </w:rPr>
              <w:t>其中：</w:t>
            </w:r>
          </w:p>
          <w:p>
            <w:pPr>
              <w:widowControl/>
              <w:spacing w:line="360" w:lineRule="auto"/>
              <w:contextualSpacing/>
              <w:rPr>
                <w:rFonts w:hint="eastAsia" w:ascii="宋体" w:hAnsi="宋体" w:cs="宋体"/>
                <w:b w:val="0"/>
                <w:bCs/>
                <w:color w:val="000000"/>
                <w:sz w:val="21"/>
                <w:szCs w:val="21"/>
                <w:highlight w:val="none"/>
                <w:lang w:val="en-US" w:eastAsia="zh-CN"/>
              </w:rPr>
            </w:pPr>
            <w:r>
              <w:rPr>
                <w:rFonts w:hint="eastAsia" w:ascii="宋体" w:hAnsi="宋体" w:cs="宋体"/>
                <w:b w:val="0"/>
                <w:bCs/>
                <w:color w:val="000000"/>
                <w:sz w:val="21"/>
                <w:szCs w:val="21"/>
                <w:highlight w:val="none"/>
                <w:lang w:val="en-US" w:eastAsia="zh-CN"/>
              </w:rPr>
              <w:t>B份额（销售代码</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TYGC28D2401B</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）面向</w:t>
            </w:r>
            <w:r>
              <w:rPr>
                <w:rFonts w:hint="eastAsia" w:ascii="宋体" w:hAnsi="宋体" w:cs="宋体"/>
                <w:color w:val="000000"/>
                <w:sz w:val="21"/>
                <w:szCs w:val="21"/>
                <w:highlight w:val="none"/>
              </w:rPr>
              <w:t>〖</w:t>
            </w:r>
            <w:r>
              <w:rPr>
                <w:rFonts w:hint="eastAsia" w:ascii="宋体" w:hAnsi="宋体" w:cs="宋体"/>
                <w:sz w:val="21"/>
                <w:szCs w:val="21"/>
                <w:highlight w:val="none"/>
              </w:rPr>
              <w:t>普通个人投资者和机构客户</w:t>
            </w:r>
            <w:r>
              <w:rPr>
                <w:rFonts w:hint="eastAsia" w:ascii="宋体" w:hAnsi="宋体" w:cs="宋体"/>
                <w:color w:val="000000"/>
                <w:sz w:val="21"/>
                <w:szCs w:val="21"/>
                <w:highlight w:val="none"/>
              </w:rPr>
              <w:t>〗</w:t>
            </w:r>
            <w:r>
              <w:rPr>
                <w:rFonts w:hint="eastAsia" w:ascii="宋体" w:hAnsi="宋体" w:cs="宋体"/>
                <w:color w:val="000000"/>
                <w:sz w:val="21"/>
                <w:szCs w:val="21"/>
                <w:highlight w:val="none"/>
                <w:lang w:eastAsia="zh-CN"/>
              </w:rPr>
              <w:t>发售</w:t>
            </w:r>
            <w:r>
              <w:rPr>
                <w:rFonts w:hint="eastAsia" w:ascii="宋体" w:hAnsi="宋体" w:cs="宋体"/>
                <w:b w:val="0"/>
                <w:bCs/>
                <w:color w:val="000000"/>
                <w:sz w:val="21"/>
                <w:szCs w:val="21"/>
                <w:highlight w:val="none"/>
                <w:lang w:val="en-US" w:eastAsia="zh-CN"/>
              </w:rPr>
              <w:t>。</w:t>
            </w:r>
          </w:p>
          <w:p>
            <w:pPr>
              <w:widowControl/>
              <w:spacing w:line="360" w:lineRule="auto"/>
              <w:contextualSpacing/>
              <w:rPr>
                <w:rFonts w:hint="eastAsia" w:ascii="宋体" w:hAnsi="宋体" w:cs="宋体"/>
                <w:b w:val="0"/>
                <w:bCs/>
                <w:color w:val="000000"/>
                <w:sz w:val="21"/>
                <w:szCs w:val="21"/>
                <w:highlight w:val="none"/>
                <w:lang w:val="en-US" w:eastAsia="zh-CN"/>
              </w:rPr>
            </w:pPr>
            <w:r>
              <w:rPr>
                <w:rFonts w:hint="eastAsia" w:ascii="宋体" w:hAnsi="宋体" w:cs="宋体"/>
                <w:b w:val="0"/>
                <w:bCs/>
                <w:color w:val="000000"/>
                <w:sz w:val="21"/>
                <w:szCs w:val="21"/>
                <w:highlight w:val="none"/>
                <w:lang w:val="en-US" w:eastAsia="zh-CN"/>
              </w:rPr>
              <w:t>C份额（销售代码</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TYGC28D2401C</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）面向</w:t>
            </w:r>
            <w:r>
              <w:rPr>
                <w:rFonts w:hint="eastAsia" w:ascii="宋体" w:hAnsi="宋体" w:cs="宋体"/>
                <w:color w:val="000000"/>
                <w:sz w:val="21"/>
                <w:szCs w:val="21"/>
                <w:highlight w:val="none"/>
              </w:rPr>
              <w:t>〖</w:t>
            </w:r>
            <w:r>
              <w:rPr>
                <w:rFonts w:hint="eastAsia" w:ascii="宋体" w:hAnsi="宋体" w:cs="宋体"/>
                <w:sz w:val="21"/>
                <w:szCs w:val="21"/>
                <w:highlight w:val="none"/>
              </w:rPr>
              <w:t>普通个人投资者和机构客户</w:t>
            </w:r>
            <w:r>
              <w:rPr>
                <w:rFonts w:hint="eastAsia" w:ascii="宋体" w:hAnsi="宋体" w:cs="宋体"/>
                <w:color w:val="000000"/>
                <w:sz w:val="21"/>
                <w:szCs w:val="21"/>
                <w:highlight w:val="none"/>
              </w:rPr>
              <w:t>〗</w:t>
            </w:r>
            <w:r>
              <w:rPr>
                <w:rFonts w:hint="eastAsia" w:ascii="宋体" w:hAnsi="宋体" w:cs="宋体"/>
                <w:color w:val="000000"/>
                <w:sz w:val="21"/>
                <w:szCs w:val="21"/>
                <w:highlight w:val="none"/>
                <w:lang w:eastAsia="zh-CN"/>
              </w:rPr>
              <w:t>发售</w:t>
            </w:r>
            <w:r>
              <w:rPr>
                <w:rFonts w:hint="eastAsia" w:ascii="宋体" w:hAnsi="宋体" w:cs="宋体"/>
                <w:b w:val="0"/>
                <w:bCs/>
                <w:color w:val="000000"/>
                <w:sz w:val="21"/>
                <w:szCs w:val="21"/>
                <w:highlight w:val="none"/>
                <w:lang w:val="en-US" w:eastAsia="zh-CN"/>
              </w:rPr>
              <w:t>。</w:t>
            </w:r>
          </w:p>
          <w:p>
            <w:pPr>
              <w:widowControl/>
              <w:spacing w:line="360" w:lineRule="auto"/>
              <w:contextualSpacing/>
              <w:rPr>
                <w:rFonts w:hint="eastAsia" w:ascii="宋体" w:hAnsi="宋体" w:cs="宋体"/>
                <w:b w:val="0"/>
                <w:bCs/>
                <w:color w:val="000000"/>
                <w:sz w:val="21"/>
                <w:szCs w:val="21"/>
                <w:highlight w:val="none"/>
                <w:lang w:val="en-US" w:eastAsia="zh-CN"/>
              </w:rPr>
            </w:pPr>
            <w:r>
              <w:rPr>
                <w:rFonts w:hint="eastAsia" w:ascii="宋体" w:hAnsi="宋体" w:cs="宋体"/>
                <w:b w:val="0"/>
                <w:bCs/>
                <w:color w:val="000000"/>
                <w:sz w:val="21"/>
                <w:szCs w:val="21"/>
                <w:highlight w:val="none"/>
                <w:lang w:val="en-US" w:eastAsia="zh-CN"/>
              </w:rPr>
              <w:t>D份额（销售代码</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TYGC28D2401D</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）面向</w:t>
            </w:r>
            <w:r>
              <w:rPr>
                <w:rFonts w:hint="eastAsia" w:ascii="宋体" w:hAnsi="宋体" w:cs="宋体"/>
                <w:color w:val="000000"/>
                <w:sz w:val="21"/>
                <w:szCs w:val="21"/>
                <w:highlight w:val="none"/>
              </w:rPr>
              <w:t>〖</w:t>
            </w:r>
            <w:r>
              <w:rPr>
                <w:rFonts w:hint="eastAsia" w:ascii="宋体" w:hAnsi="宋体" w:cs="宋体"/>
                <w:sz w:val="21"/>
                <w:szCs w:val="21"/>
                <w:highlight w:val="none"/>
              </w:rPr>
              <w:t>普通个人投资者和机构客户</w:t>
            </w:r>
            <w:r>
              <w:rPr>
                <w:rFonts w:hint="eastAsia" w:ascii="宋体" w:hAnsi="宋体" w:cs="宋体"/>
                <w:color w:val="000000"/>
                <w:sz w:val="21"/>
                <w:szCs w:val="21"/>
                <w:highlight w:val="none"/>
              </w:rPr>
              <w:t>〗</w:t>
            </w:r>
            <w:r>
              <w:rPr>
                <w:rFonts w:hint="eastAsia" w:ascii="宋体" w:hAnsi="宋体" w:cs="宋体"/>
                <w:color w:val="000000"/>
                <w:sz w:val="21"/>
                <w:szCs w:val="21"/>
                <w:highlight w:val="none"/>
                <w:lang w:eastAsia="zh-CN"/>
              </w:rPr>
              <w:t>发售</w:t>
            </w:r>
            <w:r>
              <w:rPr>
                <w:rFonts w:hint="eastAsia" w:ascii="宋体" w:hAnsi="宋体" w:cs="宋体"/>
                <w:b w:val="0"/>
                <w:bCs/>
                <w:color w:val="000000"/>
                <w:sz w:val="21"/>
                <w:szCs w:val="21"/>
                <w:highlight w:val="none"/>
                <w:lang w:val="en-US" w:eastAsia="zh-CN"/>
              </w:rPr>
              <w:t>。</w:t>
            </w:r>
          </w:p>
          <w:p>
            <w:pPr>
              <w:widowControl/>
              <w:spacing w:line="360" w:lineRule="auto"/>
              <w:contextualSpacing/>
              <w:rPr>
                <w:rFonts w:hint="eastAsia" w:ascii="宋体" w:hAnsi="宋体" w:cs="宋体"/>
                <w:b w:val="0"/>
                <w:bCs/>
                <w:color w:val="000000"/>
                <w:sz w:val="21"/>
                <w:szCs w:val="21"/>
                <w:highlight w:val="none"/>
                <w:lang w:val="en-US" w:eastAsia="zh-CN"/>
              </w:rPr>
            </w:pPr>
            <w:r>
              <w:rPr>
                <w:rFonts w:hint="eastAsia" w:ascii="宋体" w:hAnsi="宋体" w:cs="宋体"/>
                <w:b w:val="0"/>
                <w:bCs/>
                <w:color w:val="000000"/>
                <w:sz w:val="21"/>
                <w:szCs w:val="21"/>
                <w:highlight w:val="none"/>
                <w:lang w:val="en-US" w:eastAsia="zh-CN"/>
              </w:rPr>
              <w:t>E份额（销售代码</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TYGC28D2401E</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）面向</w:t>
            </w:r>
            <w:r>
              <w:rPr>
                <w:rFonts w:hint="eastAsia" w:ascii="宋体" w:hAnsi="宋体" w:cs="宋体"/>
                <w:color w:val="000000"/>
                <w:sz w:val="21"/>
                <w:szCs w:val="21"/>
                <w:highlight w:val="none"/>
              </w:rPr>
              <w:t>〖</w:t>
            </w:r>
            <w:r>
              <w:rPr>
                <w:rFonts w:hint="eastAsia" w:ascii="宋体" w:hAnsi="宋体" w:cs="宋体"/>
                <w:sz w:val="21"/>
                <w:szCs w:val="21"/>
                <w:highlight w:val="none"/>
              </w:rPr>
              <w:t>普通个人投资者和机构客户</w:t>
            </w:r>
            <w:r>
              <w:rPr>
                <w:rFonts w:hint="eastAsia" w:ascii="宋体" w:hAnsi="宋体" w:cs="宋体"/>
                <w:color w:val="000000"/>
                <w:sz w:val="21"/>
                <w:szCs w:val="21"/>
                <w:highlight w:val="none"/>
              </w:rPr>
              <w:t>〗</w:t>
            </w:r>
            <w:r>
              <w:rPr>
                <w:rFonts w:hint="eastAsia" w:ascii="宋体" w:hAnsi="宋体" w:cs="宋体"/>
                <w:color w:val="000000"/>
                <w:sz w:val="21"/>
                <w:szCs w:val="21"/>
                <w:highlight w:val="none"/>
                <w:lang w:eastAsia="zh-CN"/>
              </w:rPr>
              <w:t>发售</w:t>
            </w:r>
            <w:r>
              <w:rPr>
                <w:rFonts w:hint="eastAsia" w:ascii="宋体" w:hAnsi="宋体" w:cs="宋体"/>
                <w:b w:val="0"/>
                <w:bCs/>
                <w:color w:val="000000"/>
                <w:sz w:val="21"/>
                <w:szCs w:val="21"/>
                <w:highlight w:val="none"/>
                <w:lang w:val="en-US" w:eastAsia="zh-CN"/>
              </w:rPr>
              <w:t>。</w:t>
            </w:r>
          </w:p>
          <w:p>
            <w:pPr>
              <w:widowControl/>
              <w:spacing w:line="360" w:lineRule="auto"/>
              <w:contextualSpacing/>
              <w:rPr>
                <w:rFonts w:hint="eastAsia" w:ascii="宋体" w:hAnsi="宋体" w:cs="宋体"/>
                <w:b w:val="0"/>
                <w:bCs/>
                <w:color w:val="000000"/>
                <w:sz w:val="21"/>
                <w:szCs w:val="21"/>
                <w:highlight w:val="none"/>
                <w:lang w:val="en-US" w:eastAsia="zh-CN"/>
              </w:rPr>
            </w:pPr>
            <w:r>
              <w:rPr>
                <w:rFonts w:hint="eastAsia" w:ascii="宋体" w:hAnsi="宋体" w:cs="宋体"/>
                <w:b w:val="0"/>
                <w:bCs/>
                <w:color w:val="000000"/>
                <w:sz w:val="21"/>
                <w:szCs w:val="21"/>
                <w:highlight w:val="none"/>
                <w:lang w:val="en-US" w:eastAsia="zh-CN"/>
              </w:rPr>
              <w:t>P份额（芙蓉锦程·优选）（销售代码</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TYGC28D2401P</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）面向</w:t>
            </w:r>
            <w:r>
              <w:rPr>
                <w:rFonts w:hint="eastAsia" w:ascii="宋体" w:hAnsi="宋体" w:cs="宋体"/>
                <w:color w:val="000000"/>
                <w:sz w:val="21"/>
                <w:szCs w:val="21"/>
                <w:highlight w:val="none"/>
              </w:rPr>
              <w:t>〖</w:t>
            </w:r>
            <w:r>
              <w:rPr>
                <w:rFonts w:hint="eastAsia" w:ascii="宋体" w:hAnsi="宋体" w:cs="宋体"/>
                <w:sz w:val="21"/>
                <w:szCs w:val="21"/>
                <w:highlight w:val="none"/>
              </w:rPr>
              <w:t>普通个人投资者和机构客户</w:t>
            </w:r>
            <w:r>
              <w:rPr>
                <w:rFonts w:hint="eastAsia" w:ascii="宋体" w:hAnsi="宋体" w:cs="宋体"/>
                <w:color w:val="000000"/>
                <w:sz w:val="21"/>
                <w:szCs w:val="21"/>
                <w:highlight w:val="none"/>
              </w:rPr>
              <w:t>〗</w:t>
            </w:r>
            <w:r>
              <w:rPr>
                <w:rFonts w:hint="eastAsia" w:ascii="宋体" w:hAnsi="宋体" w:cs="宋体"/>
                <w:color w:val="000000"/>
                <w:sz w:val="21"/>
                <w:szCs w:val="21"/>
                <w:highlight w:val="none"/>
                <w:lang w:eastAsia="zh-CN"/>
              </w:rPr>
              <w:t>发售</w:t>
            </w:r>
            <w:r>
              <w:rPr>
                <w:rFonts w:hint="eastAsia" w:ascii="宋体" w:hAnsi="宋体" w:cs="宋体"/>
                <w:b w:val="0"/>
                <w:bCs/>
                <w:color w:val="000000"/>
                <w:sz w:val="21"/>
                <w:szCs w:val="21"/>
                <w:highlight w:val="none"/>
                <w:lang w:val="en-US" w:eastAsia="zh-CN"/>
              </w:rPr>
              <w:t>。</w:t>
            </w:r>
          </w:p>
          <w:p>
            <w:pPr>
              <w:widowControl/>
              <w:spacing w:line="360" w:lineRule="auto"/>
              <w:contextualSpacing/>
              <w:rPr>
                <w:rFonts w:hint="default" w:ascii="宋体" w:hAnsi="宋体" w:cs="宋体"/>
                <w:b w:val="0"/>
                <w:bCs/>
                <w:color w:val="000000"/>
                <w:sz w:val="21"/>
                <w:szCs w:val="21"/>
                <w:highlight w:val="none"/>
                <w:lang w:val="en-US" w:eastAsia="zh-CN"/>
              </w:rPr>
            </w:pPr>
            <w:r>
              <w:rPr>
                <w:rFonts w:hint="eastAsia" w:ascii="宋体" w:hAnsi="宋体" w:cs="宋体"/>
                <w:b w:val="0"/>
                <w:bCs/>
                <w:color w:val="000000"/>
                <w:sz w:val="21"/>
                <w:szCs w:val="21"/>
                <w:highlight w:val="none"/>
                <w:lang w:val="en-US" w:eastAsia="zh-CN"/>
              </w:rPr>
              <w:t>Q份额（芙蓉锦程·优选-新客专享）（销售代码</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TYGC28D2401Q</w:t>
            </w:r>
            <w:r>
              <w:rPr>
                <w:rFonts w:hint="eastAsia" w:ascii="宋体" w:hAnsi="宋体" w:cs="宋体"/>
                <w:color w:val="000000"/>
                <w:sz w:val="21"/>
                <w:szCs w:val="21"/>
                <w:highlight w:val="none"/>
              </w:rPr>
              <w:t>〗</w:t>
            </w:r>
            <w:r>
              <w:rPr>
                <w:rFonts w:hint="eastAsia" w:ascii="宋体" w:hAnsi="宋体" w:cs="宋体"/>
                <w:b w:val="0"/>
                <w:bCs/>
                <w:color w:val="000000"/>
                <w:sz w:val="21"/>
                <w:szCs w:val="21"/>
                <w:highlight w:val="none"/>
                <w:lang w:val="en-US" w:eastAsia="zh-CN"/>
              </w:rPr>
              <w:t>）面向</w:t>
            </w:r>
            <w:r>
              <w:rPr>
                <w:rFonts w:hint="eastAsia" w:ascii="宋体" w:hAnsi="宋体" w:cs="宋体"/>
                <w:b w:val="0"/>
                <w:bCs/>
                <w:color w:val="000000"/>
                <w:sz w:val="21"/>
                <w:szCs w:val="21"/>
                <w:highlight w:val="none"/>
                <w:lang w:eastAsia="zh-CN"/>
              </w:rPr>
              <w:t>〖</w:t>
            </w:r>
            <w:r>
              <w:rPr>
                <w:rFonts w:hint="eastAsia" w:ascii="宋体" w:hAnsi="宋体" w:cs="宋体"/>
                <w:b w:val="0"/>
                <w:bCs/>
                <w:color w:val="000000"/>
                <w:sz w:val="21"/>
                <w:szCs w:val="21"/>
                <w:highlight w:val="none"/>
                <w:lang w:val="en-US" w:eastAsia="zh-CN"/>
              </w:rPr>
              <w:t>其他代销机构</w:t>
            </w:r>
            <w:r>
              <w:rPr>
                <w:rFonts w:hint="eastAsia" w:ascii="宋体" w:hAnsi="宋体" w:cs="宋体"/>
                <w:b w:val="0"/>
                <w:bCs/>
                <w:color w:val="000000"/>
                <w:sz w:val="21"/>
                <w:szCs w:val="21"/>
                <w:highlight w:val="none"/>
                <w:lang w:eastAsia="zh-CN"/>
              </w:rPr>
              <w:t>〗</w:t>
            </w:r>
            <w:r>
              <w:rPr>
                <w:rFonts w:hint="eastAsia" w:ascii="宋体" w:hAnsi="宋体" w:cs="宋体"/>
                <w:color w:val="000000"/>
                <w:sz w:val="21"/>
                <w:szCs w:val="21"/>
                <w:highlight w:val="none"/>
                <w:lang w:eastAsia="zh-CN"/>
              </w:rPr>
              <w:t>发售</w:t>
            </w:r>
            <w:r>
              <w:rPr>
                <w:rFonts w:hint="eastAsia" w:ascii="宋体" w:hAnsi="宋体" w:cs="宋体"/>
                <w:b w:val="0"/>
                <w:bCs/>
                <w:color w:val="00000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发行方式</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sz w:val="21"/>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产品类型</w:t>
            </w:r>
          </w:p>
        </w:tc>
        <w:tc>
          <w:tcPr>
            <w:tcW w:w="7185" w:type="dxa"/>
            <w:noWrap w:val="0"/>
            <w:vAlign w:val="center"/>
          </w:tcPr>
          <w:p>
            <w:pPr>
              <w:widowControl/>
              <w:spacing w:line="360" w:lineRule="auto"/>
              <w:contextualSpacing/>
              <w:rPr>
                <w:rFonts w:ascii="宋体" w:hAnsi="宋体" w:cs="宋体"/>
                <w:color w:val="000000"/>
                <w:sz w:val="21"/>
                <w:szCs w:val="21"/>
                <w:highlight w:val="none"/>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固定收益</w:t>
            </w:r>
            <w:r>
              <w:rPr>
                <w:rFonts w:hint="eastAsia" w:ascii="宋体" w:hAnsi="宋体" w:cs="宋体"/>
                <w:sz w:val="21"/>
                <w:szCs w:val="21"/>
                <w:highlight w:val="none"/>
              </w:rPr>
              <w:t>〗</w:t>
            </w:r>
            <w:r>
              <w:rPr>
                <w:rFonts w:hint="eastAsia" w:ascii="宋体" w:hAnsi="宋体" w:cs="宋体"/>
                <w:color w:val="000000"/>
                <w:sz w:val="21"/>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widowControl/>
              <w:spacing w:line="360" w:lineRule="auto"/>
              <w:contextualSpacing/>
              <w:jc w:val="center"/>
              <w:rPr>
                <w:rFonts w:ascii="宋体" w:hAnsi="宋体" w:cs="宋体"/>
                <w:color w:val="000000"/>
                <w:sz w:val="21"/>
                <w:szCs w:val="21"/>
                <w:highlight w:val="none"/>
              </w:rPr>
            </w:pPr>
            <w:r>
              <w:rPr>
                <w:rFonts w:hint="eastAsia" w:ascii="宋体" w:hAnsi="宋体" w:cs="宋体"/>
                <w:color w:val="000000"/>
                <w:sz w:val="21"/>
                <w:szCs w:val="21"/>
                <w:highlight w:val="none"/>
              </w:rPr>
              <w:t>运作模式</w:t>
            </w:r>
          </w:p>
        </w:tc>
        <w:tc>
          <w:tcPr>
            <w:tcW w:w="7185" w:type="dxa"/>
            <w:noWrap w:val="0"/>
            <w:vAlign w:val="center"/>
          </w:tcPr>
          <w:p>
            <w:pPr>
              <w:widowControl/>
              <w:spacing w:line="360" w:lineRule="auto"/>
              <w:contextualSpacing/>
              <w:rPr>
                <w:rFonts w:ascii="宋体" w:hAnsi="宋体" w:cs="宋体"/>
                <w:color w:val="000000"/>
                <w:sz w:val="21"/>
                <w:szCs w:val="21"/>
                <w:highlight w:val="none"/>
              </w:rPr>
            </w:pPr>
            <w:r>
              <w:rPr>
                <w:rFonts w:hint="eastAsia" w:ascii="宋体" w:hAnsi="宋体" w:cs="宋体"/>
                <w:color w:val="000000"/>
                <w:sz w:val="21"/>
                <w:szCs w:val="21"/>
                <w:highlight w:val="none"/>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widowControl/>
              <w:spacing w:line="360" w:lineRule="auto"/>
              <w:contextualSpacing/>
              <w:jc w:val="center"/>
              <w:rPr>
                <w:rFonts w:hint="eastAsia" w:ascii="宋体" w:hAnsi="宋体" w:eastAsia="宋体" w:cs="宋体"/>
                <w:color w:val="000000"/>
                <w:sz w:val="21"/>
                <w:szCs w:val="21"/>
                <w:highlight w:val="none"/>
                <w:lang w:eastAsia="zh-CN"/>
              </w:rPr>
            </w:pPr>
            <w:r>
              <w:rPr>
                <w:rFonts w:hint="eastAsia" w:ascii="宋体" w:hAnsi="宋体" w:cs="宋体"/>
                <w:color w:val="000000"/>
                <w:sz w:val="21"/>
                <w:szCs w:val="21"/>
                <w:highlight w:val="none"/>
                <w:lang w:eastAsia="zh-CN"/>
              </w:rPr>
              <w:t>分级产品</w:t>
            </w:r>
          </w:p>
        </w:tc>
        <w:tc>
          <w:tcPr>
            <w:tcW w:w="7185" w:type="dxa"/>
            <w:noWrap w:val="0"/>
            <w:vAlign w:val="center"/>
          </w:tcPr>
          <w:p>
            <w:pPr>
              <w:widowControl/>
              <w:spacing w:line="360" w:lineRule="auto"/>
              <w:contextualSpacing/>
              <w:rPr>
                <w:rFonts w:hint="eastAsia" w:ascii="宋体" w:hAnsi="宋体" w:cs="宋体"/>
                <w:sz w:val="21"/>
                <w:szCs w:val="21"/>
                <w:highlight w:val="none"/>
              </w:rPr>
            </w:pPr>
            <w:r>
              <w:rPr>
                <w:rFonts w:hint="eastAsia" w:ascii="宋体" w:hAnsi="宋体" w:cs="宋体"/>
                <w:sz w:val="21"/>
                <w:szCs w:val="21"/>
                <w:highlight w:val="none"/>
              </w:rPr>
              <w:t>〖</w:t>
            </w:r>
            <w:r>
              <w:rPr>
                <w:rFonts w:hint="eastAsia" w:ascii="宋体" w:hAnsi="宋体" w:cs="宋体"/>
                <w:sz w:val="21"/>
                <w:szCs w:val="21"/>
                <w:highlight w:val="none"/>
                <w:lang w:eastAsia="zh-CN"/>
              </w:rPr>
              <w:t>否</w:t>
            </w:r>
            <w:r>
              <w:rPr>
                <w:rFonts w:hint="eastAsia" w:ascii="宋体" w:hAnsi="宋体" w:cs="宋体"/>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销售范围</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sz w:val="21"/>
                <w:szCs w:val="21"/>
                <w:highlight w:val="none"/>
              </w:rPr>
              <w:t>〖</w:t>
            </w:r>
            <w:r>
              <w:rPr>
                <w:rFonts w:hint="eastAsia" w:ascii="宋体" w:hAnsi="宋体" w:cs="宋体"/>
                <w:color w:val="000000"/>
                <w:sz w:val="21"/>
                <w:szCs w:val="21"/>
                <w:highlight w:val="none"/>
              </w:rPr>
              <w:t>全国</w:t>
            </w:r>
            <w:r>
              <w:rPr>
                <w:rFonts w:hint="eastAsia" w:ascii="宋体" w:hAnsi="宋体" w:cs="宋体"/>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销售渠道</w:t>
            </w:r>
          </w:p>
        </w:tc>
        <w:tc>
          <w:tcPr>
            <w:tcW w:w="7185" w:type="dxa"/>
            <w:noWrap w:val="0"/>
            <w:vAlign w:val="center"/>
          </w:tcPr>
          <w:p>
            <w:pPr>
              <w:widowControl/>
              <w:spacing w:line="360" w:lineRule="auto"/>
              <w:contextualSpacing/>
              <w:jc w:val="left"/>
              <w:rPr>
                <w:rFonts w:hint="eastAsia" w:ascii="宋体" w:hAnsi="宋体" w:cs="宋体"/>
                <w:color w:val="000000"/>
                <w:sz w:val="21"/>
                <w:szCs w:val="21"/>
                <w:highlight w:val="none"/>
              </w:rPr>
            </w:pPr>
            <w:r>
              <w:rPr>
                <w:rFonts w:hint="eastAsia" w:ascii="宋体" w:hAnsi="宋体" w:cs="宋体"/>
                <w:color w:val="000000"/>
                <w:sz w:val="21"/>
                <w:szCs w:val="21"/>
                <w:highlight w:val="none"/>
              </w:rPr>
              <w:t>可通过杭银理财直销渠道</w:t>
            </w:r>
            <w:r>
              <w:rPr>
                <w:rFonts w:hint="eastAsia" w:ascii="宋体" w:hAnsi="宋体" w:cs="宋体"/>
                <w:color w:val="000000"/>
                <w:sz w:val="21"/>
                <w:szCs w:val="21"/>
                <w:highlight w:val="none"/>
                <w:lang w:eastAsia="zh-CN"/>
              </w:rPr>
              <w:t>和代理</w:t>
            </w:r>
            <w:r>
              <w:rPr>
                <w:rFonts w:hint="eastAsia" w:ascii="宋体" w:hAnsi="宋体" w:cs="宋体"/>
                <w:color w:val="000000"/>
                <w:sz w:val="21"/>
                <w:szCs w:val="21"/>
                <w:highlight w:val="none"/>
              </w:rPr>
              <w:t>销售机构的〖营业网点、网上银行、手机银行〗等渠道购买</w:t>
            </w: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rPr>
              <w:t>通过代理销售机构购买的，具体销售渠道以代理销售机构披露为准。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交易币种</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sz w:val="21"/>
                <w:szCs w:val="21"/>
                <w:highlight w:val="none"/>
              </w:rPr>
              <w:t>〖</w:t>
            </w:r>
            <w:r>
              <w:rPr>
                <w:rFonts w:hint="eastAsia" w:ascii="宋体" w:hAnsi="宋体" w:cs="宋体"/>
                <w:color w:val="000000"/>
                <w:sz w:val="21"/>
                <w:szCs w:val="21"/>
                <w:highlight w:val="none"/>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发行规模上限</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w:t>
            </w:r>
            <w:r>
              <w:rPr>
                <w:rFonts w:hint="eastAsia" w:ascii="宋体" w:hAnsi="宋体" w:cs="宋体"/>
                <w:color w:val="000000"/>
                <w:sz w:val="21"/>
                <w:szCs w:val="21"/>
                <w:highlight w:val="none"/>
                <w:lang w:val="en-US" w:eastAsia="zh-CN"/>
              </w:rPr>
              <w:t>100</w:t>
            </w:r>
            <w:r>
              <w:rPr>
                <w:rFonts w:hint="eastAsia" w:ascii="宋体" w:hAnsi="宋体" w:cs="宋体"/>
                <w:color w:val="000000"/>
                <w:sz w:val="21"/>
                <w:szCs w:val="21"/>
                <w:highlight w:val="none"/>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认购期</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w:t>
            </w:r>
            <w:r>
              <w:rPr>
                <w:rFonts w:hint="eastAsia" w:ascii="宋体" w:hAnsi="宋体" w:cs="宋体"/>
                <w:color w:val="000000"/>
                <w:sz w:val="21"/>
                <w:szCs w:val="21"/>
                <w:highlight w:val="none"/>
                <w:lang w:val="en-US" w:eastAsia="zh-CN"/>
              </w:rPr>
              <w:t>2024</w:t>
            </w:r>
            <w:r>
              <w:rPr>
                <w:rFonts w:hint="eastAsia" w:ascii="宋体" w:hAnsi="宋体" w:cs="宋体"/>
                <w:color w:val="000000"/>
                <w:sz w:val="21"/>
                <w:szCs w:val="21"/>
                <w:highlight w:val="none"/>
              </w:rPr>
              <w:t>〗年〖</w:t>
            </w:r>
            <w:r>
              <w:rPr>
                <w:rFonts w:hint="eastAsia" w:ascii="宋体" w:hAnsi="宋体" w:cs="宋体"/>
                <w:color w:val="000000"/>
                <w:sz w:val="21"/>
                <w:szCs w:val="21"/>
                <w:highlight w:val="none"/>
                <w:lang w:val="en-US" w:eastAsia="zh-CN"/>
              </w:rPr>
              <w:t>1</w:t>
            </w:r>
            <w:r>
              <w:rPr>
                <w:rFonts w:hint="eastAsia" w:ascii="宋体" w:hAnsi="宋体" w:cs="宋体"/>
                <w:color w:val="000000"/>
                <w:sz w:val="21"/>
                <w:szCs w:val="21"/>
                <w:highlight w:val="none"/>
              </w:rPr>
              <w:t>〗月〖</w:t>
            </w:r>
            <w:r>
              <w:rPr>
                <w:rFonts w:hint="eastAsia" w:ascii="宋体" w:hAnsi="宋体" w:cs="宋体"/>
                <w:color w:val="000000"/>
                <w:sz w:val="21"/>
                <w:szCs w:val="21"/>
                <w:highlight w:val="none"/>
                <w:lang w:val="en-US" w:eastAsia="zh-CN"/>
              </w:rPr>
              <w:t>8</w:t>
            </w:r>
            <w:r>
              <w:rPr>
                <w:rFonts w:hint="eastAsia" w:ascii="宋体" w:hAnsi="宋体" w:cs="宋体"/>
                <w:color w:val="000000"/>
                <w:sz w:val="21"/>
                <w:szCs w:val="21"/>
                <w:highlight w:val="none"/>
              </w:rPr>
              <w:t>〗日-〖</w:t>
            </w:r>
            <w:r>
              <w:rPr>
                <w:rFonts w:hint="eastAsia" w:ascii="宋体" w:hAnsi="宋体" w:cs="宋体"/>
                <w:color w:val="000000"/>
                <w:sz w:val="21"/>
                <w:szCs w:val="21"/>
                <w:highlight w:val="none"/>
                <w:lang w:val="en-US" w:eastAsia="zh-CN"/>
              </w:rPr>
              <w:t>2024</w:t>
            </w:r>
            <w:r>
              <w:rPr>
                <w:rFonts w:hint="eastAsia" w:ascii="宋体" w:hAnsi="宋体" w:cs="宋体"/>
                <w:color w:val="000000"/>
                <w:sz w:val="21"/>
                <w:szCs w:val="21"/>
                <w:highlight w:val="none"/>
              </w:rPr>
              <w:t>〗年〖</w:t>
            </w:r>
            <w:r>
              <w:rPr>
                <w:rFonts w:hint="eastAsia" w:ascii="宋体" w:hAnsi="宋体" w:cs="宋体"/>
                <w:color w:val="000000"/>
                <w:sz w:val="21"/>
                <w:szCs w:val="21"/>
                <w:highlight w:val="none"/>
                <w:lang w:val="en-US" w:eastAsia="zh-CN"/>
              </w:rPr>
              <w:t>1</w:t>
            </w:r>
            <w:r>
              <w:rPr>
                <w:rFonts w:hint="eastAsia" w:ascii="宋体" w:hAnsi="宋体" w:cs="宋体"/>
                <w:color w:val="000000"/>
                <w:sz w:val="21"/>
                <w:szCs w:val="21"/>
                <w:highlight w:val="none"/>
              </w:rPr>
              <w:t>〗月〖</w:t>
            </w:r>
            <w:r>
              <w:rPr>
                <w:rFonts w:hint="eastAsia" w:ascii="宋体" w:hAnsi="宋体" w:cs="宋体"/>
                <w:color w:val="000000"/>
                <w:sz w:val="21"/>
                <w:szCs w:val="21"/>
                <w:highlight w:val="none"/>
                <w:lang w:val="en-US" w:eastAsia="zh-CN"/>
              </w:rPr>
              <w:t>8</w:t>
            </w:r>
            <w:r>
              <w:rPr>
                <w:rFonts w:hint="eastAsia" w:ascii="宋体" w:hAnsi="宋体" w:cs="宋体"/>
                <w:color w:val="000000"/>
                <w:sz w:val="21"/>
                <w:szCs w:val="21"/>
                <w:highlight w:val="none"/>
              </w:rPr>
              <w:t>〗日</w:t>
            </w:r>
            <w:r>
              <w:rPr>
                <w:rFonts w:hint="eastAsia" w:ascii="宋体" w:hAnsi="宋体" w:cs="宋体"/>
                <w:color w:val="000000"/>
                <w:kern w:val="0"/>
                <w:sz w:val="21"/>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认购时间</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认购期首日〖9：00〗至认购结束日〖</w:t>
            </w:r>
            <w:r>
              <w:rPr>
                <w:rFonts w:hint="eastAsia" w:ascii="宋体" w:hAnsi="宋体" w:cs="宋体"/>
                <w:color w:val="000000"/>
                <w:sz w:val="21"/>
                <w:szCs w:val="21"/>
                <w:highlight w:val="none"/>
                <w:lang w:eastAsia="zh-CN"/>
              </w:rPr>
              <w:t>15：45</w:t>
            </w:r>
            <w:r>
              <w:rPr>
                <w:rFonts w:hint="eastAsia" w:ascii="宋体" w:hAnsi="宋体" w:cs="宋体"/>
                <w:color w:val="000000"/>
                <w:sz w:val="21"/>
                <w:szCs w:val="21"/>
                <w:highlight w:val="none"/>
              </w:rPr>
              <w:t>〗</w:t>
            </w:r>
            <w:r>
              <w:rPr>
                <w:rFonts w:hint="eastAsia" w:ascii="宋体" w:hAnsi="宋体" w:cs="宋体"/>
                <w:color w:val="000000"/>
                <w:kern w:val="0"/>
                <w:sz w:val="21"/>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成立日</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w:t>
            </w:r>
            <w:r>
              <w:rPr>
                <w:rFonts w:hint="eastAsia" w:ascii="宋体" w:hAnsi="宋体" w:cs="宋体"/>
                <w:color w:val="000000"/>
                <w:sz w:val="21"/>
                <w:szCs w:val="21"/>
                <w:highlight w:val="none"/>
                <w:lang w:val="en-US" w:eastAsia="zh-CN"/>
              </w:rPr>
              <w:t>2024</w:t>
            </w:r>
            <w:r>
              <w:rPr>
                <w:rFonts w:hint="eastAsia" w:ascii="宋体" w:hAnsi="宋体" w:cs="宋体"/>
                <w:color w:val="000000"/>
                <w:sz w:val="21"/>
                <w:szCs w:val="21"/>
                <w:highlight w:val="none"/>
              </w:rPr>
              <w:t>〗年〖</w:t>
            </w:r>
            <w:r>
              <w:rPr>
                <w:rFonts w:hint="eastAsia" w:ascii="宋体" w:hAnsi="宋体" w:cs="宋体"/>
                <w:color w:val="000000"/>
                <w:sz w:val="21"/>
                <w:szCs w:val="21"/>
                <w:highlight w:val="none"/>
                <w:lang w:val="en-US" w:eastAsia="zh-CN"/>
              </w:rPr>
              <w:t>1</w:t>
            </w:r>
            <w:r>
              <w:rPr>
                <w:rFonts w:hint="eastAsia" w:ascii="宋体" w:hAnsi="宋体" w:cs="宋体"/>
                <w:color w:val="000000"/>
                <w:sz w:val="21"/>
                <w:szCs w:val="21"/>
                <w:highlight w:val="none"/>
              </w:rPr>
              <w:t>〗月〖</w:t>
            </w:r>
            <w:r>
              <w:rPr>
                <w:rFonts w:hint="eastAsia" w:ascii="宋体" w:hAnsi="宋体" w:cs="宋体"/>
                <w:color w:val="000000"/>
                <w:sz w:val="21"/>
                <w:szCs w:val="21"/>
                <w:highlight w:val="none"/>
                <w:lang w:val="en-US" w:eastAsia="zh-CN"/>
              </w:rPr>
              <w:t>9</w:t>
            </w:r>
            <w:r>
              <w:rPr>
                <w:rFonts w:hint="eastAsia" w:ascii="宋体" w:hAnsi="宋体" w:cs="宋体"/>
                <w:color w:val="000000"/>
                <w:sz w:val="21"/>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理财期限</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无固定期限（实际理财期限受制于管理人提前终止权等条款）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val="en-US" w:eastAsia="zh-CN"/>
              </w:rPr>
              <w:t>封闭期</w:t>
            </w:r>
          </w:p>
        </w:tc>
        <w:tc>
          <w:tcPr>
            <w:tcW w:w="7185" w:type="dxa"/>
            <w:noWrap w:val="0"/>
            <w:vAlign w:val="center"/>
          </w:tcPr>
          <w:p>
            <w:pPr>
              <w:widowControl/>
              <w:spacing w:line="360" w:lineRule="auto"/>
              <w:contextualSpacing/>
              <w:rPr>
                <w:rFonts w:hint="eastAsia" w:ascii="宋体" w:hAnsi="宋体" w:eastAsia="宋体" w:cs="宋体"/>
                <w:sz w:val="21"/>
                <w:szCs w:val="21"/>
                <w:highlight w:val="none"/>
                <w:lang w:eastAsia="zh-CN"/>
              </w:rPr>
            </w:pPr>
            <w:r>
              <w:rPr>
                <w:rFonts w:hint="eastAsia" w:ascii="宋体" w:hAnsi="宋体" w:cs="宋体"/>
                <w:color w:val="000000"/>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认购/申购</w:t>
            </w:r>
          </w:p>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起点金额</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B</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起点</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元整，超过认购/申购起点部分，应为</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元的整数倍。</w:t>
            </w:r>
            <w:r>
              <w:rPr>
                <w:rFonts w:hint="eastAsia" w:ascii="宋体" w:hAnsi="宋体" w:cs="宋体"/>
                <w:sz w:val="21"/>
                <w:szCs w:val="21"/>
                <w:highlight w:val="none"/>
              </w:rPr>
              <w:t>〖</w:t>
            </w:r>
            <w:r>
              <w:rPr>
                <w:rFonts w:hint="eastAsia" w:ascii="宋体" w:hAnsi="宋体" w:cs="宋体"/>
                <w:sz w:val="21"/>
                <w:szCs w:val="21"/>
                <w:highlight w:val="none"/>
                <w:lang w:val="en-US" w:eastAsia="zh-CN"/>
              </w:rPr>
              <w:t>C</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起点</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元整，超过认购/申购起点部分，应为</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元的整数倍。</w:t>
            </w:r>
            <w:r>
              <w:rPr>
                <w:rFonts w:hint="eastAsia" w:ascii="宋体" w:hAnsi="宋体" w:cs="宋体"/>
                <w:sz w:val="21"/>
                <w:szCs w:val="21"/>
                <w:highlight w:val="none"/>
              </w:rPr>
              <w:t>〖</w:t>
            </w:r>
            <w:r>
              <w:rPr>
                <w:rFonts w:hint="eastAsia" w:ascii="宋体" w:hAnsi="宋体" w:cs="宋体"/>
                <w:sz w:val="21"/>
                <w:szCs w:val="21"/>
                <w:highlight w:val="none"/>
                <w:lang w:val="en-US" w:eastAsia="zh-CN"/>
              </w:rPr>
              <w:t>D</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起点</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元整，超过认购/申购起点部分，应为</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元的整数倍。</w:t>
            </w:r>
            <w:r>
              <w:rPr>
                <w:rFonts w:hint="eastAsia" w:ascii="宋体" w:hAnsi="宋体" w:cs="宋体"/>
                <w:sz w:val="21"/>
                <w:szCs w:val="21"/>
                <w:highlight w:val="none"/>
              </w:rPr>
              <w:t>〖</w:t>
            </w:r>
            <w:r>
              <w:rPr>
                <w:rFonts w:hint="eastAsia" w:ascii="宋体" w:hAnsi="宋体" w:cs="宋体"/>
                <w:sz w:val="21"/>
                <w:szCs w:val="21"/>
                <w:highlight w:val="none"/>
                <w:lang w:val="en-US" w:eastAsia="zh-CN"/>
              </w:rPr>
              <w:t>E</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起点</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元整，超过认购/申购起点部分，应为</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元的整数倍。</w:t>
            </w:r>
            <w:r>
              <w:rPr>
                <w:rFonts w:hint="eastAsia" w:ascii="宋体" w:hAnsi="宋体" w:cs="宋体"/>
                <w:sz w:val="21"/>
                <w:szCs w:val="21"/>
                <w:highlight w:val="none"/>
              </w:rPr>
              <w:t>〖</w:t>
            </w:r>
            <w:r>
              <w:rPr>
                <w:rFonts w:hint="eastAsia" w:ascii="宋体" w:hAnsi="宋体" w:cs="宋体"/>
                <w:sz w:val="21"/>
                <w:szCs w:val="21"/>
                <w:highlight w:val="none"/>
                <w:lang w:val="en-US" w:eastAsia="zh-CN"/>
              </w:rPr>
              <w:t>P</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起点</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元整，超过认购/申购起点部分，应为</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元的整数倍。</w:t>
            </w:r>
          </w:p>
          <w:p>
            <w:pPr>
              <w:widowControl/>
              <w:spacing w:line="360" w:lineRule="auto"/>
              <w:contextualSpacing/>
              <w:rPr>
                <w:rFonts w:hint="eastAsia" w:ascii="宋体" w:hAnsi="宋体" w:cs="宋体"/>
                <w:bCs/>
                <w:color w:val="FF0000"/>
                <w:sz w:val="21"/>
                <w:szCs w:val="21"/>
                <w:highlight w:val="none"/>
                <w:lang w:val="en-US" w:eastAsia="zh-CN"/>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Q</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起点</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元整，超过认购/申购起点部分，应为</w:t>
            </w:r>
            <w:r>
              <w:rPr>
                <w:rFonts w:hint="eastAsia" w:ascii="宋体" w:hAnsi="宋体" w:cs="宋体"/>
                <w:sz w:val="21"/>
                <w:szCs w:val="21"/>
                <w:highlight w:val="none"/>
              </w:rPr>
              <w:t>〖</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color w:val="000000"/>
                <w:sz w:val="21"/>
                <w:szCs w:val="21"/>
                <w:highlight w:val="none"/>
              </w:rPr>
              <w:t>元的整数倍。</w:t>
            </w:r>
            <w:r>
              <w:rPr>
                <w:rFonts w:hint="eastAsia" w:ascii="宋体" w:hAnsi="宋体" w:cs="宋体"/>
                <w:color w:val="000000"/>
                <w:kern w:val="0"/>
                <w:sz w:val="21"/>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认购份额</w:t>
            </w:r>
          </w:p>
        </w:tc>
        <w:tc>
          <w:tcPr>
            <w:tcW w:w="7185" w:type="dxa"/>
            <w:noWrap w:val="0"/>
            <w:vAlign w:val="center"/>
          </w:tcPr>
          <w:p>
            <w:pPr>
              <w:widowControl/>
              <w:spacing w:line="360" w:lineRule="auto"/>
              <w:contextualSpacing/>
              <w:rPr>
                <w:rFonts w:ascii="宋体" w:hAnsi="宋体" w:cs="宋体"/>
                <w:color w:val="000000"/>
                <w:sz w:val="21"/>
                <w:szCs w:val="21"/>
                <w:highlight w:val="none"/>
              </w:rPr>
            </w:pPr>
            <w:r>
              <w:rPr>
                <w:rFonts w:hint="eastAsia" w:ascii="宋体" w:hAnsi="宋体" w:cs="宋体"/>
                <w:color w:val="000000"/>
                <w:sz w:val="21"/>
                <w:szCs w:val="21"/>
                <w:highlight w:val="none"/>
              </w:rPr>
              <w:t>认购份额=认购金额/1元。认购份额保留至0.01份理财产品份额，小数点后两位以下四舍五入。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产品成立</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cs="宋体"/>
                <w:sz w:val="21"/>
                <w:szCs w:val="21"/>
                <w:highlight w:val="none"/>
              </w:rPr>
              <w:t>〖</w:t>
            </w:r>
            <w:r>
              <w:rPr>
                <w:rFonts w:hint="eastAsia" w:ascii="宋体" w:hAnsi="宋体" w:cs="宋体"/>
                <w:sz w:val="21"/>
                <w:szCs w:val="21"/>
                <w:highlight w:val="none"/>
                <w:lang w:val="en-US" w:eastAsia="zh-CN"/>
              </w:rPr>
              <w:t>2000</w:t>
            </w:r>
            <w:r>
              <w:rPr>
                <w:rFonts w:hint="eastAsia" w:ascii="宋体" w:hAnsi="宋体" w:cs="宋体"/>
                <w:sz w:val="21"/>
                <w:szCs w:val="21"/>
                <w:highlight w:val="none"/>
              </w:rPr>
              <w:t>〗</w:t>
            </w:r>
            <w:r>
              <w:rPr>
                <w:rFonts w:hint="eastAsia" w:ascii="宋体" w:hAnsi="宋体" w:cs="宋体"/>
                <w:color w:val="000000"/>
                <w:sz w:val="21"/>
                <w:szCs w:val="21"/>
                <w:highlight w:val="none"/>
              </w:rPr>
              <w:t>万元，则管理人可宣布本理财计划不成立并在原定理财计划成立日后</w:t>
            </w:r>
            <w:r>
              <w:rPr>
                <w:rFonts w:hint="eastAsia" w:ascii="宋体" w:hAnsi="宋体" w:cs="宋体"/>
                <w:sz w:val="21"/>
                <w:szCs w:val="21"/>
                <w:highlight w:val="none"/>
              </w:rPr>
              <w:t>〖</w:t>
            </w:r>
            <w:r>
              <w:rPr>
                <w:rFonts w:hint="eastAsia" w:ascii="宋体" w:hAnsi="宋体" w:cs="宋体"/>
                <w:color w:val="000000"/>
                <w:sz w:val="21"/>
                <w:szCs w:val="21"/>
                <w:highlight w:val="none"/>
              </w:rPr>
              <w:t>2</w:t>
            </w:r>
            <w:r>
              <w:rPr>
                <w:rFonts w:hint="eastAsia" w:ascii="宋体" w:hAnsi="宋体" w:cs="宋体"/>
                <w:sz w:val="21"/>
                <w:szCs w:val="21"/>
                <w:highlight w:val="none"/>
              </w:rPr>
              <w:t>〗</w:t>
            </w:r>
            <w:r>
              <w:rPr>
                <w:rFonts w:hint="eastAsia" w:ascii="宋体" w:hAnsi="宋体" w:cs="宋体"/>
                <w:color w:val="000000"/>
                <w:sz w:val="21"/>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 w:val="21"/>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highlight w:val="none"/>
              </w:rPr>
            </w:pPr>
            <w:r>
              <w:rPr>
                <w:rFonts w:hint="eastAsia" w:ascii="宋体" w:hAnsi="宋体" w:cs="宋体"/>
                <w:color w:val="000000"/>
                <w:sz w:val="21"/>
                <w:szCs w:val="21"/>
                <w:highlight w:val="none"/>
              </w:rPr>
              <w:t>开放期</w:t>
            </w:r>
          </w:p>
        </w:tc>
        <w:tc>
          <w:tcPr>
            <w:tcW w:w="7185" w:type="dxa"/>
            <w:noWrap w:val="0"/>
            <w:vAlign w:val="center"/>
          </w:tcPr>
          <w:p>
            <w:pPr>
              <w:widowControl/>
              <w:spacing w:line="360" w:lineRule="auto"/>
              <w:contextualSpacing/>
              <w:rPr>
                <w:rFonts w:ascii="宋体" w:hAnsi="宋体" w:cs="宋体"/>
                <w:color w:val="000000"/>
                <w:sz w:val="21"/>
                <w:szCs w:val="21"/>
                <w:highlight w:val="none"/>
              </w:rPr>
            </w:pPr>
            <w:r>
              <w:rPr>
                <w:rFonts w:hint="eastAsia" w:ascii="宋体" w:hAnsi="宋体" w:cs="宋体"/>
                <w:color w:val="000000"/>
                <w:sz w:val="21"/>
                <w:szCs w:val="21"/>
                <w:highlight w:val="none"/>
              </w:rPr>
              <w:t>理财计划</w:t>
            </w:r>
            <w:r>
              <w:rPr>
                <w:rFonts w:hint="eastAsia" w:ascii="宋体" w:hAnsi="宋体" w:cs="宋体"/>
                <w:color w:val="000000"/>
                <w:sz w:val="21"/>
                <w:szCs w:val="21"/>
                <w:highlight w:val="none"/>
                <w:lang w:val="en-US" w:eastAsia="zh-CN"/>
              </w:rPr>
              <w:t>的</w:t>
            </w:r>
            <w:r>
              <w:rPr>
                <w:rFonts w:hint="eastAsia" w:ascii="宋体" w:hAnsi="宋体" w:cs="宋体"/>
                <w:color w:val="000000"/>
                <w:sz w:val="21"/>
                <w:szCs w:val="21"/>
                <w:highlight w:val="none"/>
              </w:rPr>
              <w:t>开放期为〖封闭期后的每个交易日〗。如遇特殊情况，则以管理人公告为准。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持有期</w:t>
            </w:r>
          </w:p>
        </w:tc>
        <w:tc>
          <w:tcPr>
            <w:tcW w:w="7185" w:type="dxa"/>
            <w:noWrap w:val="0"/>
            <w:vAlign w:val="center"/>
          </w:tcPr>
          <w:p>
            <w:pPr>
              <w:widowControl/>
              <w:spacing w:line="360" w:lineRule="auto"/>
              <w:contextualSpacing/>
              <w:jc w:val="left"/>
              <w:rPr>
                <w:rFonts w:hint="eastAsia" w:ascii="宋体" w:hAnsi="宋体" w:cs="宋体"/>
                <w:color w:val="000000"/>
                <w:sz w:val="21"/>
                <w:szCs w:val="21"/>
                <w:highlight w:val="none"/>
                <w:lang w:val="en-US" w:eastAsia="zh-CN"/>
              </w:rPr>
            </w:pPr>
            <w:r>
              <w:rPr>
                <w:rFonts w:hint="eastAsia" w:ascii="宋体" w:hAnsi="宋体" w:cs="宋体"/>
                <w:color w:val="000000"/>
                <w:sz w:val="21"/>
                <w:szCs w:val="21"/>
                <w:highlight w:val="none"/>
              </w:rPr>
              <w:t>本理财计划的持有期为</w:t>
            </w: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lang w:val="en-US" w:eastAsia="zh-CN"/>
              </w:rPr>
              <w:t>28</w:t>
            </w:r>
            <w:r>
              <w:rPr>
                <w:rFonts w:hint="eastAsia" w:ascii="宋体" w:hAnsi="宋体" w:cs="宋体"/>
                <w:color w:val="000000"/>
                <w:sz w:val="21"/>
                <w:szCs w:val="21"/>
                <w:highlight w:val="none"/>
                <w:lang w:eastAsia="zh-CN"/>
              </w:rPr>
              <w:t>〗天</w:t>
            </w:r>
            <w:r>
              <w:rPr>
                <w:rFonts w:hint="eastAsia" w:ascii="宋体" w:hAnsi="宋体" w:cs="宋体"/>
                <w:color w:val="000000"/>
                <w:sz w:val="21"/>
                <w:szCs w:val="21"/>
                <w:highlight w:val="none"/>
              </w:rPr>
              <w:t>，投资者认购/申购份额确认成功后，每一笔份额需自产品成立日（含）/确认日（含）起最低持有满</w:t>
            </w: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lang w:val="en-US" w:eastAsia="zh-CN"/>
              </w:rPr>
              <w:t>28</w:t>
            </w:r>
            <w:r>
              <w:rPr>
                <w:rFonts w:hint="eastAsia" w:ascii="宋体" w:hAnsi="宋体" w:cs="宋体"/>
                <w:color w:val="000000"/>
                <w:sz w:val="21"/>
                <w:szCs w:val="21"/>
                <w:highlight w:val="none"/>
                <w:lang w:eastAsia="zh-CN"/>
              </w:rPr>
              <w:t>〗天</w:t>
            </w:r>
            <w:r>
              <w:rPr>
                <w:rFonts w:hint="eastAsia" w:ascii="宋体" w:hAnsi="宋体" w:cs="宋体"/>
                <w:color w:val="000000"/>
                <w:sz w:val="21"/>
                <w:szCs w:val="21"/>
                <w:highlight w:val="none"/>
              </w:rPr>
              <w:t>后方可按规则申请赎回。如投资者多次购买产品，其中持有</w:t>
            </w: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lang w:val="en-US" w:eastAsia="zh-CN"/>
              </w:rPr>
              <w:t>28</w:t>
            </w:r>
            <w:r>
              <w:rPr>
                <w:rFonts w:hint="eastAsia" w:ascii="宋体" w:hAnsi="宋体" w:cs="宋体"/>
                <w:color w:val="000000"/>
                <w:sz w:val="21"/>
                <w:szCs w:val="21"/>
                <w:highlight w:val="none"/>
                <w:lang w:eastAsia="zh-CN"/>
              </w:rPr>
              <w:t>〗天</w:t>
            </w:r>
            <w:r>
              <w:rPr>
                <w:rFonts w:hint="eastAsia" w:ascii="宋体" w:hAnsi="宋体" w:cs="宋体"/>
                <w:color w:val="000000"/>
                <w:sz w:val="21"/>
                <w:szCs w:val="21"/>
                <w:highlight w:val="none"/>
              </w:rPr>
              <w:t>及以上的份额，可申请赎回；持有</w:t>
            </w: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lang w:val="en-US" w:eastAsia="zh-CN"/>
              </w:rPr>
              <w:t>28</w:t>
            </w:r>
            <w:r>
              <w:rPr>
                <w:rFonts w:hint="eastAsia" w:ascii="宋体" w:hAnsi="宋体" w:cs="宋体"/>
                <w:color w:val="000000"/>
                <w:sz w:val="21"/>
                <w:szCs w:val="21"/>
                <w:highlight w:val="none"/>
                <w:lang w:eastAsia="zh-CN"/>
              </w:rPr>
              <w:t>〗天</w:t>
            </w:r>
            <w:r>
              <w:rPr>
                <w:rFonts w:hint="eastAsia" w:ascii="宋体" w:hAnsi="宋体" w:cs="宋体"/>
                <w:color w:val="000000"/>
                <w:sz w:val="21"/>
                <w:szCs w:val="21"/>
                <w:highlight w:val="none"/>
              </w:rPr>
              <w:t>以内的份额，不可申请赎回。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highlight w:val="none"/>
              </w:rPr>
            </w:pPr>
            <w:r>
              <w:rPr>
                <w:rFonts w:hint="eastAsia" w:ascii="宋体" w:hAnsi="宋体" w:cs="宋体"/>
                <w:color w:val="000000"/>
                <w:sz w:val="21"/>
                <w:szCs w:val="21"/>
                <w:highlight w:val="none"/>
              </w:rPr>
              <w:t>交易时间</w:t>
            </w:r>
          </w:p>
        </w:tc>
        <w:tc>
          <w:tcPr>
            <w:tcW w:w="7185" w:type="dxa"/>
            <w:noWrap w:val="0"/>
            <w:vAlign w:val="center"/>
          </w:tcPr>
          <w:p>
            <w:pPr>
              <w:widowControl/>
              <w:spacing w:line="360" w:lineRule="auto"/>
              <w:contextualSpacing/>
              <w:rPr>
                <w:rFonts w:hint="eastAsia" w:ascii="宋体" w:hAnsi="宋体" w:eastAsia="宋体" w:cs="宋体"/>
                <w:color w:val="000000"/>
                <w:sz w:val="21"/>
                <w:szCs w:val="21"/>
                <w:highlight w:val="none"/>
                <w:lang w:eastAsia="zh-CN"/>
              </w:rPr>
            </w:pPr>
            <w:r>
              <w:rPr>
                <w:rFonts w:hint="eastAsia" w:ascii="宋体" w:hAnsi="宋体" w:cs="宋体"/>
                <w:color w:val="000000"/>
                <w:sz w:val="21"/>
                <w:szCs w:val="21"/>
                <w:highlight w:val="none"/>
              </w:rPr>
              <w:t>1.本理财计划在每个开放期的工作时间均可进行申购</w:t>
            </w:r>
            <w:r>
              <w:rPr>
                <w:rFonts w:hint="eastAsia" w:ascii="宋体" w:hAnsi="宋体" w:cs="宋体"/>
                <w:color w:val="000000"/>
                <w:sz w:val="21"/>
                <w:szCs w:val="21"/>
                <w:highlight w:val="none"/>
                <w:lang w:val="en-US" w:eastAsia="zh-CN"/>
              </w:rPr>
              <w:t>和撤单</w:t>
            </w:r>
            <w:r>
              <w:rPr>
                <w:rFonts w:hint="eastAsia" w:ascii="宋体" w:hAnsi="宋体" w:cs="宋体"/>
                <w:color w:val="000000"/>
                <w:sz w:val="21"/>
                <w:szCs w:val="21"/>
                <w:highlight w:val="none"/>
              </w:rPr>
              <w:t>，申购申请将在申购确认日，即</w:t>
            </w:r>
            <w:r>
              <w:rPr>
                <w:rFonts w:hint="eastAsia" w:ascii="宋体" w:hAnsi="宋体" w:cs="宋体"/>
                <w:color w:val="000000"/>
                <w:sz w:val="21"/>
                <w:szCs w:val="21"/>
                <w:highlight w:val="none"/>
                <w:lang w:val="en-US" w:eastAsia="zh-CN"/>
              </w:rPr>
              <w:t>申购申请日后</w:t>
            </w:r>
            <w:r>
              <w:rPr>
                <w:rFonts w:hint="eastAsia" w:ascii="宋体" w:hAnsi="宋体" w:cs="宋体"/>
                <w:color w:val="000000"/>
                <w:sz w:val="21"/>
                <w:szCs w:val="21"/>
                <w:highlight w:val="none"/>
              </w:rPr>
              <w:t>的第</w:t>
            </w:r>
            <w:r>
              <w:rPr>
                <w:rFonts w:hint="eastAsia" w:ascii="宋体" w:hAnsi="宋体" w:cs="宋体"/>
                <w:sz w:val="21"/>
                <w:szCs w:val="21"/>
                <w:highlight w:val="none"/>
              </w:rPr>
              <w:t>〖1〗个</w:t>
            </w:r>
            <w:r>
              <w:rPr>
                <w:rFonts w:hint="eastAsia" w:ascii="宋体" w:hAnsi="宋体" w:cs="宋体"/>
                <w:sz w:val="21"/>
                <w:szCs w:val="21"/>
                <w:highlight w:val="none"/>
                <w:lang w:val="en-US" w:eastAsia="zh-CN"/>
              </w:rPr>
              <w:t>交易</w:t>
            </w:r>
            <w:r>
              <w:rPr>
                <w:rFonts w:hint="eastAsia" w:ascii="宋体" w:hAnsi="宋体" w:cs="宋体"/>
                <w:bCs/>
                <w:sz w:val="21"/>
                <w:szCs w:val="21"/>
                <w:highlight w:val="none"/>
              </w:rPr>
              <w:t>日进行确认。</w:t>
            </w:r>
            <w:r>
              <w:rPr>
                <w:rFonts w:hint="eastAsia" w:ascii="宋体" w:hAnsi="宋体" w:cs="宋体"/>
                <w:color w:val="000000"/>
                <w:sz w:val="21"/>
                <w:szCs w:val="21"/>
                <w:highlight w:val="none"/>
              </w:rPr>
              <w:t>确认日如遇非</w:t>
            </w:r>
            <w:r>
              <w:rPr>
                <w:rFonts w:hint="eastAsia" w:ascii="宋体" w:hAnsi="宋体" w:cs="宋体"/>
                <w:color w:val="000000"/>
                <w:sz w:val="21"/>
                <w:szCs w:val="21"/>
                <w:highlight w:val="none"/>
                <w:lang w:val="en-US" w:eastAsia="zh-CN"/>
              </w:rPr>
              <w:t>交易</w:t>
            </w:r>
            <w:r>
              <w:rPr>
                <w:rFonts w:hint="eastAsia" w:ascii="宋体" w:hAnsi="宋体" w:cs="宋体"/>
                <w:color w:val="000000"/>
                <w:sz w:val="21"/>
                <w:szCs w:val="21"/>
                <w:highlight w:val="none"/>
              </w:rPr>
              <w:t>日，则顺延至</w:t>
            </w:r>
            <w:r>
              <w:rPr>
                <w:rFonts w:hint="eastAsia" w:ascii="宋体" w:hAnsi="宋体" w:cs="宋体"/>
                <w:sz w:val="21"/>
                <w:szCs w:val="21"/>
                <w:highlight w:val="none"/>
              </w:rPr>
              <w:t>〖</w:t>
            </w:r>
            <w:r>
              <w:rPr>
                <w:rFonts w:hint="eastAsia" w:ascii="宋体" w:hAnsi="宋体" w:cs="宋体"/>
                <w:color w:val="000000"/>
                <w:sz w:val="21"/>
                <w:szCs w:val="21"/>
                <w:highlight w:val="none"/>
              </w:rPr>
              <w:t>下一</w:t>
            </w:r>
            <w:r>
              <w:rPr>
                <w:rFonts w:hint="eastAsia" w:ascii="宋体" w:hAnsi="宋体" w:cs="宋体"/>
                <w:color w:val="000000"/>
                <w:sz w:val="21"/>
                <w:szCs w:val="21"/>
                <w:highlight w:val="none"/>
                <w:lang w:val="en-US" w:eastAsia="zh-CN"/>
              </w:rPr>
              <w:t>交易</w:t>
            </w:r>
            <w:r>
              <w:rPr>
                <w:rFonts w:hint="eastAsia" w:ascii="宋体" w:hAnsi="宋体" w:cs="宋体"/>
                <w:color w:val="000000"/>
                <w:sz w:val="21"/>
                <w:szCs w:val="21"/>
                <w:highlight w:val="none"/>
              </w:rPr>
              <w:t>日</w:t>
            </w:r>
            <w:r>
              <w:rPr>
                <w:rFonts w:hint="eastAsia" w:ascii="宋体" w:hAnsi="宋体" w:cs="宋体"/>
                <w:sz w:val="21"/>
                <w:szCs w:val="21"/>
                <w:highlight w:val="none"/>
              </w:rPr>
              <w:t>〗</w:t>
            </w:r>
            <w:r>
              <w:rPr>
                <w:rFonts w:hint="eastAsia" w:ascii="宋体" w:hAnsi="宋体" w:cs="宋体"/>
                <w:color w:val="000000"/>
                <w:sz w:val="21"/>
                <w:szCs w:val="21"/>
                <w:highlight w:val="none"/>
              </w:rPr>
              <w:t>。</w:t>
            </w:r>
          </w:p>
          <w:p>
            <w:pPr>
              <w:widowControl/>
              <w:spacing w:line="360" w:lineRule="auto"/>
              <w:contextualSpacing/>
              <w:rPr>
                <w:rFonts w:ascii="宋体" w:hAnsi="宋体" w:cs="宋体"/>
                <w:color w:val="000000"/>
                <w:sz w:val="21"/>
                <w:szCs w:val="21"/>
                <w:highlight w:val="none"/>
              </w:rPr>
            </w:pPr>
            <w:r>
              <w:rPr>
                <w:rFonts w:hint="eastAsia" w:ascii="宋体" w:hAnsi="宋体" w:cs="宋体"/>
                <w:color w:val="000000"/>
                <w:sz w:val="21"/>
                <w:szCs w:val="21"/>
                <w:highlight w:val="none"/>
              </w:rPr>
              <w:t>2.满足最低持有期后</w:t>
            </w:r>
            <w:r>
              <w:rPr>
                <w:rFonts w:hint="eastAsia" w:ascii="宋体" w:hAnsi="宋体" w:cs="宋体"/>
                <w:color w:val="000000"/>
                <w:sz w:val="21"/>
                <w:szCs w:val="21"/>
                <w:highlight w:val="none"/>
                <w:lang w:eastAsia="zh-CN"/>
              </w:rPr>
              <w:t>，</w:t>
            </w:r>
            <w:r>
              <w:rPr>
                <w:rFonts w:hint="eastAsia" w:ascii="宋体" w:hAnsi="宋体" w:cs="宋体"/>
                <w:color w:val="000000"/>
                <w:sz w:val="21"/>
                <w:szCs w:val="21"/>
                <w:highlight w:val="none"/>
              </w:rPr>
              <w:t>本理财计划在每个开放期的工作时间均可进行赎回</w:t>
            </w:r>
            <w:r>
              <w:rPr>
                <w:rFonts w:hint="eastAsia" w:ascii="宋体" w:hAnsi="宋体" w:cs="宋体"/>
                <w:color w:val="000000"/>
                <w:sz w:val="21"/>
                <w:szCs w:val="21"/>
                <w:highlight w:val="none"/>
                <w:lang w:val="en-US" w:eastAsia="zh-CN"/>
              </w:rPr>
              <w:t>和撤单</w:t>
            </w:r>
            <w:r>
              <w:rPr>
                <w:rFonts w:hint="eastAsia" w:ascii="宋体" w:hAnsi="宋体" w:cs="宋体"/>
                <w:color w:val="000000"/>
                <w:sz w:val="21"/>
                <w:szCs w:val="21"/>
                <w:highlight w:val="none"/>
              </w:rPr>
              <w:t>，赎回申请将在赎回确认日，即</w:t>
            </w:r>
            <w:r>
              <w:rPr>
                <w:rFonts w:hint="eastAsia" w:ascii="宋体" w:hAnsi="宋体" w:cs="宋体"/>
                <w:color w:val="000000"/>
                <w:sz w:val="21"/>
                <w:szCs w:val="21"/>
                <w:highlight w:val="none"/>
                <w:lang w:val="en-US" w:eastAsia="zh-CN"/>
              </w:rPr>
              <w:t>赎回申请日</w:t>
            </w:r>
            <w:r>
              <w:rPr>
                <w:rFonts w:hint="eastAsia" w:ascii="宋体" w:hAnsi="宋体" w:cs="宋体"/>
                <w:color w:val="000000"/>
                <w:sz w:val="21"/>
                <w:szCs w:val="21"/>
                <w:highlight w:val="none"/>
              </w:rPr>
              <w:t>后的第</w:t>
            </w:r>
            <w:r>
              <w:rPr>
                <w:rFonts w:hint="eastAsia" w:ascii="宋体" w:hAnsi="宋体" w:cs="宋体"/>
                <w:sz w:val="21"/>
                <w:szCs w:val="21"/>
                <w:highlight w:val="none"/>
              </w:rPr>
              <w:t>〖1〗个</w:t>
            </w:r>
            <w:r>
              <w:rPr>
                <w:rFonts w:hint="eastAsia" w:ascii="宋体" w:hAnsi="宋体" w:cs="宋体"/>
                <w:sz w:val="21"/>
                <w:szCs w:val="21"/>
                <w:highlight w:val="none"/>
                <w:lang w:val="en-US" w:eastAsia="zh-CN"/>
              </w:rPr>
              <w:t>交易</w:t>
            </w:r>
            <w:r>
              <w:rPr>
                <w:rFonts w:hint="eastAsia" w:ascii="宋体" w:hAnsi="宋体" w:cs="宋体"/>
                <w:bCs/>
                <w:sz w:val="21"/>
                <w:szCs w:val="21"/>
                <w:highlight w:val="none"/>
              </w:rPr>
              <w:t>日进行确认。</w:t>
            </w:r>
            <w:r>
              <w:rPr>
                <w:rFonts w:hint="eastAsia" w:ascii="宋体" w:hAnsi="宋体" w:cs="宋体"/>
                <w:color w:val="000000"/>
                <w:sz w:val="21"/>
                <w:szCs w:val="21"/>
                <w:highlight w:val="none"/>
              </w:rPr>
              <w:t>确认日如遇非</w:t>
            </w:r>
            <w:r>
              <w:rPr>
                <w:rFonts w:hint="eastAsia" w:ascii="宋体" w:hAnsi="宋体" w:cs="宋体"/>
                <w:color w:val="000000"/>
                <w:sz w:val="21"/>
                <w:szCs w:val="21"/>
                <w:highlight w:val="none"/>
                <w:lang w:val="en-US" w:eastAsia="zh-CN"/>
              </w:rPr>
              <w:t>交易</w:t>
            </w:r>
            <w:r>
              <w:rPr>
                <w:rFonts w:hint="eastAsia" w:ascii="宋体" w:hAnsi="宋体" w:cs="宋体"/>
                <w:color w:val="000000"/>
                <w:sz w:val="21"/>
                <w:szCs w:val="21"/>
                <w:highlight w:val="none"/>
              </w:rPr>
              <w:t>日，则顺延至</w:t>
            </w:r>
            <w:r>
              <w:rPr>
                <w:rFonts w:hint="eastAsia" w:ascii="宋体" w:hAnsi="宋体" w:cs="宋体"/>
                <w:sz w:val="21"/>
                <w:szCs w:val="21"/>
                <w:highlight w:val="none"/>
              </w:rPr>
              <w:t>〖</w:t>
            </w:r>
            <w:r>
              <w:rPr>
                <w:rFonts w:hint="eastAsia" w:ascii="宋体" w:hAnsi="宋体" w:cs="宋体"/>
                <w:color w:val="000000"/>
                <w:sz w:val="21"/>
                <w:szCs w:val="21"/>
                <w:highlight w:val="none"/>
              </w:rPr>
              <w:t>下一</w:t>
            </w:r>
            <w:r>
              <w:rPr>
                <w:rFonts w:hint="eastAsia" w:ascii="宋体" w:hAnsi="宋体" w:cs="宋体"/>
                <w:color w:val="000000"/>
                <w:sz w:val="21"/>
                <w:szCs w:val="21"/>
                <w:highlight w:val="none"/>
                <w:lang w:val="en-US" w:eastAsia="zh-CN"/>
              </w:rPr>
              <w:t>交易</w:t>
            </w:r>
            <w:r>
              <w:rPr>
                <w:rFonts w:hint="eastAsia" w:ascii="宋体" w:hAnsi="宋体" w:cs="宋体"/>
                <w:color w:val="000000"/>
                <w:sz w:val="21"/>
                <w:szCs w:val="21"/>
                <w:highlight w:val="none"/>
              </w:rPr>
              <w:t>日</w:t>
            </w:r>
            <w:r>
              <w:rPr>
                <w:rFonts w:hint="eastAsia" w:ascii="宋体" w:hAnsi="宋体" w:cs="宋体"/>
                <w:sz w:val="21"/>
                <w:szCs w:val="21"/>
                <w:highlight w:val="none"/>
              </w:rPr>
              <w:t>〗</w:t>
            </w:r>
            <w:r>
              <w:rPr>
                <w:rFonts w:hint="eastAsia" w:ascii="宋体" w:hAnsi="宋体" w:cs="宋体"/>
                <w:color w:val="000000"/>
                <w:sz w:val="21"/>
                <w:szCs w:val="21"/>
                <w:highlight w:val="none"/>
              </w:rPr>
              <w:t>。</w:t>
            </w:r>
          </w:p>
          <w:p>
            <w:pPr>
              <w:widowControl/>
              <w:spacing w:line="360" w:lineRule="auto"/>
              <w:contextualSpacing/>
              <w:rPr>
                <w:rFonts w:hint="eastAsia" w:ascii="宋体" w:hAnsi="宋体" w:cs="宋体"/>
                <w:color w:val="auto"/>
                <w:sz w:val="21"/>
                <w:szCs w:val="21"/>
                <w:highlight w:val="none"/>
              </w:rPr>
            </w:pPr>
            <w:r>
              <w:rPr>
                <w:rFonts w:hint="eastAsia" w:ascii="宋体" w:hAnsi="宋体" w:cs="宋体"/>
                <w:color w:val="auto"/>
                <w:kern w:val="2"/>
                <w:sz w:val="21"/>
                <w:szCs w:val="21"/>
                <w:highlight w:val="none"/>
                <w:lang w:val="en-US" w:eastAsia="zh-CN"/>
              </w:rPr>
              <w:t>3.</w:t>
            </w:r>
            <w:r>
              <w:rPr>
                <w:rFonts w:hint="eastAsia" w:ascii="宋体" w:hAnsi="宋体" w:cs="宋体"/>
                <w:color w:val="auto"/>
                <w:kern w:val="2"/>
                <w:sz w:val="21"/>
                <w:szCs w:val="21"/>
                <w:highlight w:val="none"/>
              </w:rPr>
              <w:t>在交易日的</w:t>
            </w:r>
            <w:r>
              <w:rPr>
                <w:rFonts w:hint="eastAsia" w:ascii="宋体" w:hAnsi="宋体" w:cs="宋体"/>
                <w:color w:val="auto"/>
                <w:kern w:val="2"/>
                <w:sz w:val="21"/>
                <w:szCs w:val="21"/>
                <w:highlight w:val="none"/>
                <w:lang w:eastAsia="zh-CN"/>
              </w:rPr>
              <w:t>1</w:t>
            </w:r>
            <w:r>
              <w:rPr>
                <w:rFonts w:hint="eastAsia" w:ascii="宋体" w:hAnsi="宋体" w:cs="宋体"/>
                <w:color w:val="auto"/>
                <w:kern w:val="2"/>
                <w:sz w:val="21"/>
                <w:szCs w:val="21"/>
                <w:highlight w:val="none"/>
                <w:lang w:val="en-US" w:eastAsia="zh-CN"/>
              </w:rPr>
              <w:t>7</w:t>
            </w:r>
            <w:r>
              <w:rPr>
                <w:rFonts w:hint="eastAsia" w:ascii="宋体" w:hAnsi="宋体" w:cs="宋体"/>
                <w:color w:val="auto"/>
                <w:kern w:val="2"/>
                <w:sz w:val="21"/>
                <w:szCs w:val="21"/>
                <w:highlight w:val="none"/>
                <w:lang w:eastAsia="zh-CN"/>
              </w:rPr>
              <w:t>：</w:t>
            </w:r>
            <w:r>
              <w:rPr>
                <w:rFonts w:hint="eastAsia" w:ascii="宋体" w:hAnsi="宋体" w:cs="宋体"/>
                <w:color w:val="auto"/>
                <w:kern w:val="2"/>
                <w:sz w:val="21"/>
                <w:szCs w:val="21"/>
                <w:highlight w:val="none"/>
                <w:lang w:val="en-US" w:eastAsia="zh-CN"/>
              </w:rPr>
              <w:t>00</w:t>
            </w:r>
            <w:r>
              <w:rPr>
                <w:rFonts w:hint="eastAsia" w:ascii="宋体" w:hAnsi="宋体" w:cs="宋体"/>
                <w:color w:val="auto"/>
                <w:kern w:val="2"/>
                <w:sz w:val="21"/>
                <w:szCs w:val="21"/>
                <w:highlight w:val="none"/>
              </w:rPr>
              <w:t>之前提交的申购和赎回申请，申请日为提出申请当日；在交易日</w:t>
            </w:r>
            <w:r>
              <w:rPr>
                <w:rFonts w:hint="eastAsia" w:ascii="宋体" w:hAnsi="宋体" w:cs="宋体"/>
                <w:color w:val="auto"/>
                <w:kern w:val="2"/>
                <w:sz w:val="21"/>
                <w:szCs w:val="21"/>
                <w:highlight w:val="none"/>
                <w:lang w:eastAsia="zh-CN"/>
              </w:rPr>
              <w:t>1</w:t>
            </w:r>
            <w:r>
              <w:rPr>
                <w:rFonts w:hint="eastAsia" w:ascii="宋体" w:hAnsi="宋体" w:cs="宋体"/>
                <w:color w:val="auto"/>
                <w:kern w:val="2"/>
                <w:sz w:val="21"/>
                <w:szCs w:val="21"/>
                <w:highlight w:val="none"/>
                <w:lang w:val="en-US" w:eastAsia="zh-CN"/>
              </w:rPr>
              <w:t>7</w:t>
            </w:r>
            <w:r>
              <w:rPr>
                <w:rFonts w:hint="eastAsia" w:ascii="宋体" w:hAnsi="宋体" w:cs="宋体"/>
                <w:color w:val="auto"/>
                <w:kern w:val="2"/>
                <w:sz w:val="21"/>
                <w:szCs w:val="21"/>
                <w:highlight w:val="none"/>
                <w:lang w:eastAsia="zh-CN"/>
              </w:rPr>
              <w:t>：</w:t>
            </w:r>
            <w:r>
              <w:rPr>
                <w:rFonts w:hint="eastAsia" w:ascii="宋体" w:hAnsi="宋体" w:cs="宋体"/>
                <w:color w:val="auto"/>
                <w:kern w:val="2"/>
                <w:sz w:val="21"/>
                <w:szCs w:val="21"/>
                <w:highlight w:val="none"/>
                <w:lang w:val="en-US" w:eastAsia="zh-CN"/>
              </w:rPr>
              <w:t>00</w:t>
            </w:r>
            <w:r>
              <w:rPr>
                <w:rFonts w:hint="eastAsia" w:ascii="宋体" w:hAnsi="宋体" w:cs="宋体"/>
                <w:color w:val="auto"/>
                <w:kern w:val="2"/>
                <w:sz w:val="21"/>
                <w:szCs w:val="21"/>
                <w:highlight w:val="none"/>
              </w:rPr>
              <w:t>之后及非交易日提交的申购和赎回申请，申请日为提出申请日的下一交易日</w:t>
            </w:r>
            <w:r>
              <w:rPr>
                <w:rFonts w:hint="eastAsia" w:ascii="宋体" w:hAnsi="宋体" w:cs="宋体"/>
                <w:color w:val="auto"/>
                <w:kern w:val="2"/>
                <w:sz w:val="21"/>
                <w:szCs w:val="21"/>
                <w:highlight w:val="none"/>
                <w:lang w:eastAsia="zh-CN"/>
              </w:rPr>
              <w:t>。</w:t>
            </w:r>
          </w:p>
          <w:p>
            <w:pPr>
              <w:widowControl/>
              <w:spacing w:line="360" w:lineRule="auto"/>
              <w:contextualSpacing/>
              <w:rPr>
                <w:rFonts w:hint="eastAsia" w:ascii="宋体" w:hAnsi="宋体" w:cs="宋体"/>
                <w:bCs/>
                <w:color w:val="FF0000"/>
                <w:sz w:val="21"/>
                <w:szCs w:val="21"/>
                <w:highlight w:val="none"/>
              </w:rPr>
            </w:pPr>
            <w:r>
              <w:rPr>
                <w:rFonts w:hint="eastAsia" w:ascii="宋体" w:hAnsi="宋体" w:cs="宋体"/>
                <w:color w:val="000000"/>
                <w:sz w:val="21"/>
                <w:szCs w:val="21"/>
                <w:highlight w:val="none"/>
                <w:lang w:val="en-US" w:eastAsia="zh-CN"/>
              </w:rPr>
              <w:t>4</w:t>
            </w:r>
            <w:r>
              <w:rPr>
                <w:rFonts w:hint="eastAsia" w:ascii="宋体" w:hAnsi="宋体" w:cs="宋体"/>
                <w:color w:val="000000"/>
                <w:sz w:val="21"/>
                <w:szCs w:val="21"/>
                <w:highlight w:val="none"/>
              </w:rPr>
              <w:t>.工作时间为每个</w:t>
            </w:r>
            <w:r>
              <w:rPr>
                <w:rFonts w:hint="eastAsia" w:ascii="宋体" w:hAnsi="宋体" w:cs="宋体"/>
                <w:color w:val="000000"/>
                <w:sz w:val="21"/>
                <w:szCs w:val="21"/>
                <w:highlight w:val="none"/>
                <w:lang w:val="en-US" w:eastAsia="zh-CN"/>
              </w:rPr>
              <w:t>交易</w:t>
            </w:r>
            <w:r>
              <w:rPr>
                <w:rFonts w:hint="eastAsia" w:ascii="宋体" w:hAnsi="宋体" w:cs="宋体"/>
                <w:color w:val="000000"/>
                <w:sz w:val="21"/>
                <w:szCs w:val="21"/>
                <w:highlight w:val="none"/>
              </w:rPr>
              <w:t>日上午〖9:00〗至下午〖1</w:t>
            </w:r>
            <w:r>
              <w:rPr>
                <w:rFonts w:hint="eastAsia" w:ascii="宋体" w:hAnsi="宋体" w:cs="宋体"/>
                <w:color w:val="000000"/>
                <w:sz w:val="21"/>
                <w:szCs w:val="21"/>
                <w:highlight w:val="none"/>
                <w:lang w:val="en-US" w:eastAsia="zh-CN"/>
              </w:rPr>
              <w:t>7</w:t>
            </w:r>
            <w:r>
              <w:rPr>
                <w:rFonts w:hint="eastAsia" w:ascii="宋体" w:hAnsi="宋体" w:cs="宋体"/>
                <w:color w:val="000000"/>
                <w:sz w:val="21"/>
                <w:szCs w:val="21"/>
                <w:highlight w:val="none"/>
              </w:rPr>
              <w:t>:</w:t>
            </w:r>
            <w:r>
              <w:rPr>
                <w:rFonts w:hint="eastAsia" w:ascii="宋体" w:hAnsi="宋体" w:cs="宋体"/>
                <w:color w:val="000000"/>
                <w:sz w:val="21"/>
                <w:szCs w:val="21"/>
                <w:highlight w:val="none"/>
                <w:lang w:val="en-US" w:eastAsia="zh-CN"/>
              </w:rPr>
              <w:t>00</w:t>
            </w:r>
            <w:r>
              <w:rPr>
                <w:rFonts w:hint="eastAsia" w:ascii="宋体" w:hAnsi="宋体" w:cs="宋体"/>
                <w:color w:val="000000"/>
                <w:sz w:val="21"/>
                <w:szCs w:val="21"/>
                <w:highlight w:val="none"/>
              </w:rPr>
              <w:t>〗。确认日如遇非</w:t>
            </w:r>
            <w:r>
              <w:rPr>
                <w:rFonts w:hint="eastAsia" w:ascii="宋体" w:hAnsi="宋体" w:cs="宋体"/>
                <w:color w:val="000000"/>
                <w:sz w:val="21"/>
                <w:szCs w:val="21"/>
                <w:highlight w:val="none"/>
                <w:lang w:val="en-US" w:eastAsia="zh-CN"/>
              </w:rPr>
              <w:t>交易</w:t>
            </w:r>
            <w:r>
              <w:rPr>
                <w:rFonts w:hint="eastAsia" w:ascii="宋体" w:hAnsi="宋体" w:cs="宋体"/>
                <w:color w:val="000000"/>
                <w:sz w:val="21"/>
                <w:szCs w:val="21"/>
                <w:highlight w:val="none"/>
              </w:rPr>
              <w:t>日，则顺延至</w:t>
            </w:r>
            <w:r>
              <w:rPr>
                <w:rFonts w:hint="eastAsia" w:ascii="宋体" w:hAnsi="宋体" w:cs="宋体"/>
                <w:sz w:val="21"/>
                <w:szCs w:val="21"/>
                <w:highlight w:val="none"/>
              </w:rPr>
              <w:t>〖</w:t>
            </w:r>
            <w:r>
              <w:rPr>
                <w:rFonts w:hint="eastAsia" w:ascii="宋体" w:hAnsi="宋体" w:cs="宋体"/>
                <w:color w:val="000000"/>
                <w:sz w:val="21"/>
                <w:szCs w:val="21"/>
                <w:highlight w:val="none"/>
              </w:rPr>
              <w:t>下一</w:t>
            </w:r>
            <w:r>
              <w:rPr>
                <w:rFonts w:hint="eastAsia" w:ascii="宋体" w:hAnsi="宋体" w:cs="宋体"/>
                <w:color w:val="000000"/>
                <w:sz w:val="21"/>
                <w:szCs w:val="21"/>
                <w:highlight w:val="none"/>
                <w:lang w:val="en-US" w:eastAsia="zh-CN"/>
              </w:rPr>
              <w:t>交易</w:t>
            </w:r>
            <w:r>
              <w:rPr>
                <w:rFonts w:hint="eastAsia" w:ascii="宋体" w:hAnsi="宋体" w:cs="宋体"/>
                <w:color w:val="000000"/>
                <w:sz w:val="21"/>
                <w:szCs w:val="21"/>
                <w:highlight w:val="none"/>
              </w:rPr>
              <w:t>日</w:t>
            </w:r>
            <w:r>
              <w:rPr>
                <w:rFonts w:hint="eastAsia" w:ascii="宋体" w:hAnsi="宋体" w:cs="宋体"/>
                <w:sz w:val="21"/>
                <w:szCs w:val="21"/>
                <w:highlight w:val="none"/>
              </w:rPr>
              <w:t>〗</w:t>
            </w:r>
            <w:r>
              <w:rPr>
                <w:rFonts w:hint="eastAsia" w:ascii="宋体" w:hAnsi="宋体" w:cs="宋体"/>
                <w:color w:val="000000"/>
                <w:sz w:val="21"/>
                <w:szCs w:val="21"/>
                <w:highlight w:val="none"/>
              </w:rPr>
              <w:t>。</w:t>
            </w:r>
            <w:r>
              <w:rPr>
                <w:rFonts w:hint="eastAsia" w:ascii="宋体" w:hAnsi="宋体" w:cs="宋体"/>
                <w:color w:val="000000"/>
                <w:kern w:val="0"/>
                <w:sz w:val="21"/>
                <w:szCs w:val="21"/>
                <w:highlight w:val="none"/>
              </w:rPr>
              <w:t>（具体以销售机构</w:t>
            </w:r>
            <w:r>
              <w:rPr>
                <w:rFonts w:hint="eastAsia" w:ascii="宋体" w:hAnsi="宋体" w:cs="宋体"/>
                <w:color w:val="000000"/>
                <w:kern w:val="0"/>
                <w:sz w:val="21"/>
                <w:szCs w:val="21"/>
                <w:highlight w:val="none"/>
                <w:lang w:val="en-US" w:eastAsia="zh-CN"/>
              </w:rPr>
              <w:t>销售要素</w:t>
            </w:r>
            <w:r>
              <w:rPr>
                <w:rFonts w:hint="eastAsia" w:ascii="宋体" w:hAnsi="宋体" w:cs="宋体"/>
                <w:color w:val="000000"/>
                <w:kern w:val="0"/>
                <w:sz w:val="21"/>
                <w:szCs w:val="21"/>
                <w:highlight w:val="none"/>
              </w:rPr>
              <w:t>为准）</w:t>
            </w:r>
          </w:p>
          <w:p>
            <w:pPr>
              <w:widowControl/>
              <w:spacing w:line="360" w:lineRule="auto"/>
              <w:contextualSpacing/>
              <w:rPr>
                <w:rFonts w:hint="default" w:ascii="宋体" w:hAnsi="宋体" w:eastAsia="宋体" w:cs="宋体"/>
                <w:bCs/>
                <w:color w:val="FF0000"/>
                <w:sz w:val="21"/>
                <w:szCs w:val="21"/>
                <w:highlight w:val="none"/>
                <w:lang w:val="en-US" w:eastAsia="zh-CN"/>
              </w:rPr>
            </w:pPr>
            <w:r>
              <w:rPr>
                <w:rFonts w:hint="eastAsia" w:ascii="宋体" w:hAnsi="宋体" w:cs="宋体"/>
                <w:bCs/>
                <w:color w:val="auto"/>
                <w:sz w:val="21"/>
                <w:szCs w:val="21"/>
                <w:highlight w:val="none"/>
                <w:lang w:val="en-US" w:eastAsia="zh-CN"/>
              </w:rPr>
              <w:t>5.上述交易安排如有调整，请以管理人公告为准。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highlight w:val="none"/>
              </w:rPr>
            </w:pPr>
            <w:r>
              <w:rPr>
                <w:rFonts w:hint="eastAsia" w:ascii="宋体" w:hAnsi="宋体" w:cs="宋体"/>
                <w:color w:val="000000"/>
                <w:sz w:val="21"/>
                <w:szCs w:val="21"/>
                <w:highlight w:val="none"/>
              </w:rPr>
              <w:t>巨额赎回</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理财计划存续期内，若理财计划开放日净赎回申请份额超过上一日日终理财计划总份额</w:t>
            </w:r>
            <w:r>
              <w:rPr>
                <w:rFonts w:hint="eastAsia" w:ascii="宋体" w:hAnsi="宋体" w:cs="宋体"/>
                <w:sz w:val="21"/>
                <w:szCs w:val="21"/>
                <w:highlight w:val="none"/>
              </w:rPr>
              <w:t>〖</w:t>
            </w:r>
            <w:r>
              <w:rPr>
                <w:rFonts w:hint="eastAsia" w:ascii="宋体" w:hAnsi="宋体" w:cs="宋体"/>
                <w:color w:val="000000"/>
                <w:sz w:val="21"/>
                <w:szCs w:val="21"/>
                <w:highlight w:val="none"/>
              </w:rPr>
              <w:t>10%</w:t>
            </w:r>
            <w:r>
              <w:rPr>
                <w:rFonts w:hint="eastAsia" w:ascii="宋体" w:hAnsi="宋体" w:cs="宋体"/>
                <w:sz w:val="21"/>
                <w:szCs w:val="21"/>
                <w:highlight w:val="none"/>
              </w:rPr>
              <w:t>〗</w:t>
            </w:r>
            <w:r>
              <w:rPr>
                <w:rFonts w:hint="eastAsia" w:ascii="宋体" w:hAnsi="宋体" w:cs="宋体"/>
                <w:color w:val="000000"/>
                <w:sz w:val="21"/>
                <w:szCs w:val="21"/>
                <w:highlight w:val="none"/>
              </w:rPr>
              <w:t>时，管理人有权暂停或拒绝接受赎回申请，并最迟于下一工作日进行对外公告。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widowControl/>
              <w:spacing w:line="360" w:lineRule="auto"/>
              <w:contextualSpacing/>
              <w:rPr>
                <w:rFonts w:hint="eastAsia" w:ascii="宋体" w:hAnsi="宋体" w:cs="宋体"/>
                <w:sz w:val="21"/>
                <w:szCs w:val="21"/>
                <w:highlight w:val="none"/>
                <w:lang w:eastAsia="zh-CN"/>
              </w:rPr>
            </w:pPr>
            <w:r>
              <w:rPr>
                <w:rFonts w:hint="eastAsia" w:ascii="宋体" w:hAnsi="宋体" w:cs="宋体"/>
                <w:sz w:val="21"/>
                <w:szCs w:val="21"/>
                <w:highlight w:val="none"/>
                <w:lang w:val="en-US" w:eastAsia="zh-CN"/>
              </w:rPr>
              <w:t>B份额：</w:t>
            </w:r>
            <w:r>
              <w:rPr>
                <w:rFonts w:hint="eastAsia" w:ascii="宋体" w:hAnsi="宋体" w:cs="宋体"/>
                <w:sz w:val="21"/>
                <w:szCs w:val="21"/>
                <w:highlight w:val="none"/>
              </w:rPr>
              <w:t>单户</w:t>
            </w:r>
            <w:r>
              <w:rPr>
                <w:rFonts w:hint="eastAsia" w:ascii="宋体" w:hAnsi="宋体" w:cs="宋体"/>
                <w:sz w:val="21"/>
                <w:szCs w:val="21"/>
                <w:highlight w:val="none"/>
                <w:lang w:val="en-US" w:eastAsia="zh-CN"/>
              </w:rPr>
              <w:t>持有</w:t>
            </w:r>
            <w:r>
              <w:rPr>
                <w:rFonts w:hint="eastAsia" w:ascii="宋体" w:hAnsi="宋体" w:cs="宋体"/>
                <w:sz w:val="21"/>
                <w:szCs w:val="21"/>
                <w:highlight w:val="none"/>
              </w:rPr>
              <w:t>上限〖</w:t>
            </w:r>
            <w:r>
              <w:rPr>
                <w:rFonts w:hint="eastAsia" w:ascii="宋体" w:hAnsi="宋体" w:cs="宋体"/>
                <w:sz w:val="21"/>
                <w:szCs w:val="21"/>
                <w:highlight w:val="none"/>
                <w:lang w:val="en-US" w:eastAsia="zh-CN"/>
              </w:rPr>
              <w:t>1</w:t>
            </w:r>
            <w:r>
              <w:rPr>
                <w:rFonts w:hint="eastAsia" w:ascii="宋体" w:hAnsi="宋体" w:cs="宋体"/>
                <w:sz w:val="21"/>
                <w:szCs w:val="21"/>
                <w:highlight w:val="none"/>
              </w:rPr>
              <w:t>〗</w:t>
            </w:r>
            <w:r>
              <w:rPr>
                <w:rFonts w:hint="eastAsia" w:ascii="宋体" w:hAnsi="宋体" w:cs="宋体"/>
                <w:sz w:val="21"/>
                <w:szCs w:val="21"/>
                <w:highlight w:val="none"/>
                <w:lang w:val="en-US" w:eastAsia="zh-CN"/>
              </w:rPr>
              <w:t>亿</w:t>
            </w:r>
            <w:r>
              <w:rPr>
                <w:rFonts w:hint="eastAsia" w:ascii="宋体" w:hAnsi="宋体" w:cs="宋体"/>
                <w:sz w:val="21"/>
                <w:szCs w:val="21"/>
                <w:highlight w:val="none"/>
              </w:rPr>
              <w:t>元</w:t>
            </w:r>
            <w:r>
              <w:rPr>
                <w:rFonts w:hint="eastAsia" w:ascii="宋体" w:hAnsi="宋体" w:cs="宋体"/>
                <w:sz w:val="21"/>
                <w:szCs w:val="21"/>
                <w:highlight w:val="none"/>
                <w:lang w:eastAsia="zh-CN"/>
              </w:rPr>
              <w:t>。</w:t>
            </w:r>
          </w:p>
          <w:p>
            <w:pPr>
              <w:widowControl/>
              <w:spacing w:line="360" w:lineRule="auto"/>
              <w:contextualSpacing/>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C、D、E、P、Q份额：</w:t>
            </w:r>
            <w:r>
              <w:rPr>
                <w:rFonts w:hint="eastAsia" w:ascii="宋体" w:hAnsi="宋体" w:cs="宋体"/>
                <w:sz w:val="21"/>
                <w:szCs w:val="21"/>
                <w:highlight w:val="none"/>
              </w:rPr>
              <w:t>单户</w:t>
            </w:r>
            <w:r>
              <w:rPr>
                <w:rFonts w:hint="eastAsia" w:ascii="宋体" w:hAnsi="宋体" w:cs="宋体"/>
                <w:sz w:val="21"/>
                <w:szCs w:val="21"/>
                <w:highlight w:val="none"/>
                <w:lang w:val="en-US" w:eastAsia="zh-CN"/>
              </w:rPr>
              <w:t>持有</w:t>
            </w:r>
            <w:r>
              <w:rPr>
                <w:rFonts w:hint="eastAsia" w:ascii="宋体" w:hAnsi="宋体" w:cs="宋体"/>
                <w:sz w:val="21"/>
                <w:szCs w:val="21"/>
                <w:highlight w:val="none"/>
              </w:rPr>
              <w:t>上限〖</w:t>
            </w:r>
            <w:r>
              <w:rPr>
                <w:rFonts w:hint="eastAsia" w:ascii="宋体" w:hAnsi="宋体" w:cs="宋体"/>
                <w:sz w:val="21"/>
                <w:szCs w:val="21"/>
                <w:highlight w:val="none"/>
                <w:lang w:val="en-US" w:eastAsia="zh-CN"/>
              </w:rPr>
              <w:t>5</w:t>
            </w:r>
            <w:r>
              <w:rPr>
                <w:rFonts w:hint="eastAsia" w:ascii="宋体" w:hAnsi="宋体" w:cs="宋体"/>
                <w:sz w:val="21"/>
                <w:szCs w:val="21"/>
                <w:highlight w:val="none"/>
              </w:rPr>
              <w:t>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highlight w:val="none"/>
              </w:rPr>
            </w:pPr>
            <w:r>
              <w:rPr>
                <w:rFonts w:hint="eastAsia" w:ascii="宋体" w:hAnsi="宋体" w:cs="宋体"/>
                <w:color w:val="000000"/>
                <w:sz w:val="21"/>
                <w:szCs w:val="21"/>
                <w:highlight w:val="none"/>
              </w:rPr>
              <w:t>申购份额</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bCs/>
                <w:sz w:val="21"/>
                <w:szCs w:val="21"/>
                <w:highlight w:val="none"/>
              </w:rPr>
              <w:t>申购份额=申购金额/确认日</w:t>
            </w:r>
            <w:r>
              <w:rPr>
                <w:rFonts w:hint="eastAsia" w:ascii="宋体" w:hAnsi="宋体" w:cs="宋体"/>
                <w:bCs/>
                <w:sz w:val="21"/>
                <w:szCs w:val="21"/>
                <w:highlight w:val="none"/>
                <w:lang w:eastAsia="zh-CN"/>
              </w:rPr>
              <w:t>前一日</w:t>
            </w:r>
            <w:r>
              <w:rPr>
                <w:rFonts w:hint="eastAsia" w:ascii="宋体" w:hAnsi="宋体" w:cs="宋体"/>
                <w:bCs/>
                <w:sz w:val="21"/>
                <w:szCs w:val="21"/>
                <w:highlight w:val="none"/>
              </w:rPr>
              <w:t>的单位净值。申购</w:t>
            </w:r>
            <w:r>
              <w:rPr>
                <w:rFonts w:hint="eastAsia" w:ascii="宋体" w:hAnsi="宋体" w:cs="宋体"/>
                <w:color w:val="000000"/>
                <w:sz w:val="21"/>
                <w:szCs w:val="21"/>
                <w:highlight w:val="none"/>
              </w:rPr>
              <w:t>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highlight w:val="none"/>
              </w:rPr>
            </w:pPr>
            <w:r>
              <w:rPr>
                <w:rFonts w:hint="eastAsia" w:ascii="宋体" w:hAnsi="宋体" w:cs="宋体"/>
                <w:color w:val="000000"/>
                <w:sz w:val="21"/>
                <w:szCs w:val="21"/>
                <w:highlight w:val="none"/>
              </w:rPr>
              <w:t>赎回金额</w:t>
            </w:r>
          </w:p>
        </w:tc>
        <w:tc>
          <w:tcPr>
            <w:tcW w:w="7185" w:type="dxa"/>
            <w:noWrap w:val="0"/>
            <w:vAlign w:val="center"/>
          </w:tcPr>
          <w:p>
            <w:pPr>
              <w:widowControl/>
              <w:spacing w:line="360" w:lineRule="auto"/>
              <w:contextualSpacing/>
              <w:rPr>
                <w:rFonts w:ascii="宋体" w:hAnsi="宋体" w:cs="宋体"/>
                <w:color w:val="000000"/>
                <w:sz w:val="21"/>
                <w:szCs w:val="21"/>
                <w:highlight w:val="none"/>
              </w:rPr>
            </w:pPr>
            <w:r>
              <w:rPr>
                <w:rFonts w:hint="eastAsia" w:ascii="宋体" w:hAnsi="宋体" w:cs="宋体"/>
                <w:color w:val="000000"/>
                <w:sz w:val="21"/>
                <w:szCs w:val="21"/>
                <w:highlight w:val="none"/>
              </w:rPr>
              <w:t>赎回金额=赎</w:t>
            </w:r>
            <w:r>
              <w:rPr>
                <w:rFonts w:hint="eastAsia" w:ascii="宋体" w:hAnsi="宋体" w:cs="宋体"/>
                <w:bCs/>
                <w:sz w:val="21"/>
                <w:szCs w:val="21"/>
                <w:highlight w:val="none"/>
              </w:rPr>
              <w:t>回份额×确认日</w:t>
            </w:r>
            <w:r>
              <w:rPr>
                <w:rFonts w:hint="eastAsia" w:ascii="宋体" w:hAnsi="宋体" w:cs="宋体"/>
                <w:bCs/>
                <w:sz w:val="21"/>
                <w:szCs w:val="21"/>
                <w:highlight w:val="none"/>
                <w:lang w:eastAsia="zh-CN"/>
              </w:rPr>
              <w:t>前一日</w:t>
            </w:r>
            <w:r>
              <w:rPr>
                <w:rFonts w:hint="eastAsia" w:ascii="宋体" w:hAnsi="宋体" w:cs="宋体"/>
                <w:bCs/>
                <w:sz w:val="21"/>
                <w:szCs w:val="21"/>
                <w:highlight w:val="none"/>
              </w:rPr>
              <w:t>的单位净值。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单位净值</w:t>
            </w:r>
          </w:p>
        </w:tc>
        <w:tc>
          <w:tcPr>
            <w:tcW w:w="7185" w:type="dxa"/>
            <w:noWrap w:val="0"/>
            <w:vAlign w:val="center"/>
          </w:tcPr>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单位净值=理财计划估值日理财计划总净值/理财计划总份额，单位净值</w:t>
            </w:r>
            <w:r>
              <w:rPr>
                <w:rFonts w:hint="eastAsia" w:ascii="宋体" w:hAnsi="宋体" w:cs="宋体"/>
                <w:sz w:val="21"/>
                <w:szCs w:val="21"/>
                <w:highlight w:val="none"/>
              </w:rPr>
              <w:t>〖</w:t>
            </w:r>
            <w:r>
              <w:rPr>
                <w:rFonts w:hint="eastAsia" w:ascii="宋体" w:hAnsi="宋体" w:cs="宋体"/>
                <w:color w:val="000000"/>
                <w:sz w:val="21"/>
                <w:szCs w:val="21"/>
                <w:highlight w:val="none"/>
              </w:rPr>
              <w:t>保留小数点后</w:t>
            </w:r>
            <w:r>
              <w:rPr>
                <w:rFonts w:hint="eastAsia" w:ascii="宋体" w:hAnsi="宋体" w:cs="宋体"/>
                <w:color w:val="000000"/>
                <w:sz w:val="21"/>
                <w:szCs w:val="21"/>
                <w:highlight w:val="none"/>
                <w:lang w:val="en-US" w:eastAsia="zh-CN"/>
              </w:rPr>
              <w:t>六</w:t>
            </w:r>
            <w:r>
              <w:rPr>
                <w:rFonts w:hint="eastAsia" w:ascii="宋体" w:hAnsi="宋体" w:cs="宋体"/>
                <w:color w:val="000000"/>
                <w:sz w:val="21"/>
                <w:szCs w:val="21"/>
                <w:highlight w:val="none"/>
              </w:rPr>
              <w:t>位</w:t>
            </w:r>
            <w:r>
              <w:rPr>
                <w:rFonts w:hint="eastAsia" w:ascii="宋体" w:hAnsi="宋体" w:cs="宋体"/>
                <w:sz w:val="21"/>
                <w:szCs w:val="21"/>
                <w:highlight w:val="none"/>
              </w:rPr>
              <w:t>〗</w:t>
            </w:r>
            <w:r>
              <w:rPr>
                <w:rFonts w:hint="eastAsia" w:ascii="宋体" w:hAnsi="宋体" w:cs="宋体"/>
                <w:sz w:val="21"/>
                <w:szCs w:val="21"/>
                <w:highlight w:val="none"/>
                <w:lang w:eastAsia="zh-CN"/>
              </w:rPr>
              <w:t>，</w:t>
            </w:r>
            <w:r>
              <w:rPr>
                <w:rFonts w:hint="eastAsia" w:ascii="宋体" w:hAnsi="宋体" w:cs="宋体"/>
                <w:color w:val="000000"/>
                <w:sz w:val="21"/>
                <w:szCs w:val="21"/>
                <w:highlight w:val="none"/>
                <w:lang w:val="en-US" w:eastAsia="zh-CN"/>
              </w:rPr>
              <w:t>小数点六位以后去尾。</w:t>
            </w:r>
          </w:p>
          <w:p>
            <w:pPr>
              <w:widowControl/>
              <w:spacing w:line="360" w:lineRule="auto"/>
              <w:contextualSpacing/>
              <w:rPr>
                <w:rFonts w:hint="eastAsia" w:ascii="宋体" w:hAnsi="宋体" w:cs="宋体"/>
                <w:b/>
                <w:color w:val="000000"/>
                <w:sz w:val="21"/>
                <w:szCs w:val="21"/>
                <w:highlight w:val="none"/>
              </w:rPr>
            </w:pPr>
            <w:r>
              <w:rPr>
                <w:rFonts w:hint="eastAsia" w:ascii="宋体" w:hAnsi="宋体" w:cs="宋体"/>
                <w:color w:val="000000"/>
                <w:sz w:val="21"/>
                <w:szCs w:val="21"/>
                <w:highlight w:val="none"/>
              </w:rPr>
              <w:t>理财计划总净值=理财计划认购总额+理财计划所获总收益-理财计划总费用（包括但不限于管理费、托管费、</w:t>
            </w:r>
            <w:r>
              <w:rPr>
                <w:rFonts w:hint="eastAsia" w:ascii="宋体" w:hAnsi="宋体" w:cs="宋体"/>
                <w:color w:val="000000"/>
                <w:sz w:val="21"/>
                <w:szCs w:val="21"/>
                <w:highlight w:val="none"/>
                <w:lang w:eastAsia="zh-CN"/>
              </w:rPr>
              <w:t>销售服务费</w:t>
            </w:r>
            <w:r>
              <w:rPr>
                <w:rFonts w:hint="eastAsia" w:ascii="宋体" w:hAnsi="宋体" w:cs="宋体"/>
                <w:color w:val="000000"/>
                <w:sz w:val="21"/>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资金与收益支付方式</w:t>
            </w:r>
          </w:p>
        </w:tc>
        <w:tc>
          <w:tcPr>
            <w:tcW w:w="7185" w:type="dxa"/>
            <w:noWrap w:val="0"/>
            <w:vAlign w:val="center"/>
          </w:tcPr>
          <w:p>
            <w:pPr>
              <w:widowControl/>
              <w:spacing w:line="360" w:lineRule="auto"/>
              <w:contextualSpacing/>
              <w:rPr>
                <w:rFonts w:ascii="宋体" w:hAnsi="宋体" w:cs="宋体"/>
                <w:color w:val="000000"/>
                <w:sz w:val="21"/>
                <w:szCs w:val="21"/>
                <w:highlight w:val="none"/>
              </w:rPr>
            </w:pPr>
            <w:r>
              <w:rPr>
                <w:rFonts w:hint="eastAsia" w:ascii="宋体" w:hAnsi="宋体" w:cs="宋体"/>
                <w:color w:val="000000"/>
                <w:sz w:val="21"/>
                <w:szCs w:val="21"/>
                <w:highlight w:val="none"/>
              </w:rPr>
              <w:t>1.赎回资金确认后，最快</w:t>
            </w:r>
            <w:r>
              <w:rPr>
                <w:rFonts w:hint="eastAsia" w:ascii="宋体" w:hAnsi="宋体" w:cs="宋体"/>
                <w:color w:val="000000"/>
                <w:sz w:val="21"/>
                <w:szCs w:val="21"/>
                <w:highlight w:val="none"/>
                <w:lang w:val="en-US" w:eastAsia="zh-CN"/>
              </w:rPr>
              <w:t>于确认日当</w:t>
            </w:r>
            <w:r>
              <w:rPr>
                <w:rFonts w:hint="eastAsia" w:ascii="宋体" w:hAnsi="宋体" w:cs="宋体"/>
                <w:color w:val="000000"/>
                <w:sz w:val="21"/>
                <w:szCs w:val="21"/>
                <w:highlight w:val="none"/>
                <w:lang w:eastAsia="zh-CN"/>
              </w:rPr>
              <w:t>日</w:t>
            </w:r>
            <w:r>
              <w:rPr>
                <w:rFonts w:hint="eastAsia" w:ascii="宋体" w:hAnsi="宋体" w:cs="宋体"/>
                <w:color w:val="000000"/>
                <w:sz w:val="21"/>
                <w:szCs w:val="21"/>
                <w:highlight w:val="none"/>
              </w:rPr>
              <w:t>，最晚</w:t>
            </w:r>
            <w:r>
              <w:rPr>
                <w:rFonts w:hint="eastAsia" w:ascii="宋体" w:hAnsi="宋体" w:cs="宋体"/>
                <w:color w:val="000000"/>
                <w:sz w:val="21"/>
                <w:szCs w:val="21"/>
                <w:highlight w:val="none"/>
                <w:lang w:val="en-US" w:eastAsia="zh-CN"/>
              </w:rPr>
              <w:t>于确认日后</w:t>
            </w:r>
            <w:r>
              <w:rPr>
                <w:rFonts w:hint="eastAsia" w:ascii="宋体" w:hAnsi="宋体" w:cs="宋体"/>
                <w:sz w:val="21"/>
                <w:szCs w:val="21"/>
                <w:highlight w:val="none"/>
              </w:rPr>
              <w:t>〖</w:t>
            </w:r>
            <w:r>
              <w:rPr>
                <w:rFonts w:hint="eastAsia" w:ascii="宋体" w:hAnsi="宋体" w:cs="宋体"/>
                <w:sz w:val="21"/>
                <w:szCs w:val="21"/>
                <w:highlight w:val="none"/>
                <w:lang w:val="en-US" w:eastAsia="zh-CN"/>
              </w:rPr>
              <w:t>2</w:t>
            </w:r>
            <w:r>
              <w:rPr>
                <w:rFonts w:hint="eastAsia" w:ascii="宋体" w:hAnsi="宋体" w:cs="宋体"/>
                <w:sz w:val="21"/>
                <w:szCs w:val="21"/>
                <w:highlight w:val="none"/>
              </w:rPr>
              <w:t>〗</w:t>
            </w:r>
            <w:r>
              <w:rPr>
                <w:rFonts w:hint="eastAsia" w:ascii="宋体" w:hAnsi="宋体" w:cs="宋体"/>
                <w:color w:val="000000"/>
                <w:sz w:val="21"/>
                <w:szCs w:val="21"/>
                <w:highlight w:val="none"/>
              </w:rPr>
              <w:t>个</w:t>
            </w:r>
            <w:r>
              <w:rPr>
                <w:rFonts w:hint="eastAsia" w:ascii="宋体" w:hAnsi="宋体" w:cs="宋体"/>
                <w:color w:val="000000"/>
                <w:sz w:val="21"/>
                <w:szCs w:val="21"/>
                <w:highlight w:val="none"/>
                <w:lang w:eastAsia="zh-CN"/>
              </w:rPr>
              <w:t>交易日</w:t>
            </w:r>
            <w:r>
              <w:rPr>
                <w:rFonts w:hint="eastAsia" w:ascii="宋体" w:hAnsi="宋体" w:cs="宋体"/>
                <w:color w:val="000000"/>
                <w:sz w:val="21"/>
                <w:szCs w:val="21"/>
                <w:highlight w:val="none"/>
              </w:rPr>
              <w:t>内（遇节假日顺延）理财资金与收益一次性支付。如遇资金在途或法定</w:t>
            </w:r>
            <w:r>
              <w:rPr>
                <w:rFonts w:hint="eastAsia" w:ascii="宋体" w:hAnsi="宋体" w:cs="宋体"/>
                <w:color w:val="000000"/>
                <w:sz w:val="21"/>
                <w:szCs w:val="21"/>
                <w:highlight w:val="none"/>
                <w:lang w:val="en-US" w:eastAsia="zh-CN"/>
              </w:rPr>
              <w:t>工作</w:t>
            </w:r>
            <w:r>
              <w:rPr>
                <w:rFonts w:hint="eastAsia" w:ascii="宋体" w:hAnsi="宋体" w:cs="宋体"/>
                <w:color w:val="000000"/>
                <w:sz w:val="21"/>
                <w:szCs w:val="21"/>
                <w:highlight w:val="none"/>
                <w:lang w:eastAsia="zh-CN"/>
              </w:rPr>
              <w:t>日</w:t>
            </w:r>
            <w:r>
              <w:rPr>
                <w:rFonts w:hint="eastAsia" w:ascii="宋体" w:hAnsi="宋体" w:cs="宋体"/>
                <w:color w:val="000000"/>
                <w:sz w:val="21"/>
                <w:szCs w:val="21"/>
                <w:highlight w:val="none"/>
              </w:rPr>
              <w:t>调整，实际资金到账日以公告为准。</w:t>
            </w:r>
            <w:r>
              <w:rPr>
                <w:rFonts w:hint="eastAsia" w:ascii="宋体" w:hAnsi="宋体" w:cs="宋体"/>
                <w:color w:val="000000"/>
                <w:kern w:val="0"/>
                <w:sz w:val="21"/>
                <w:szCs w:val="21"/>
                <w:highlight w:val="none"/>
              </w:rPr>
              <w:t>（具体以销售机构规定为准）</w:t>
            </w:r>
          </w:p>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2.理财计划到期后，最快</w:t>
            </w:r>
            <w:r>
              <w:rPr>
                <w:rFonts w:hint="eastAsia" w:ascii="宋体" w:hAnsi="宋体" w:cs="宋体"/>
                <w:color w:val="000000"/>
                <w:sz w:val="21"/>
                <w:szCs w:val="21"/>
                <w:highlight w:val="none"/>
                <w:lang w:val="en-US" w:eastAsia="zh-CN"/>
              </w:rPr>
              <w:t>于到期日后〖1〗个交易</w:t>
            </w:r>
            <w:r>
              <w:rPr>
                <w:rFonts w:hint="eastAsia" w:ascii="宋体" w:hAnsi="宋体" w:cs="宋体"/>
                <w:color w:val="000000"/>
                <w:sz w:val="21"/>
                <w:szCs w:val="21"/>
                <w:highlight w:val="none"/>
                <w:lang w:eastAsia="zh-CN"/>
              </w:rPr>
              <w:t>日</w:t>
            </w:r>
            <w:r>
              <w:rPr>
                <w:rFonts w:hint="eastAsia" w:ascii="宋体" w:hAnsi="宋体" w:cs="宋体"/>
                <w:color w:val="000000"/>
                <w:sz w:val="21"/>
                <w:szCs w:val="21"/>
                <w:highlight w:val="none"/>
              </w:rPr>
              <w:t>，最晚</w:t>
            </w:r>
            <w:r>
              <w:rPr>
                <w:rFonts w:hint="eastAsia" w:ascii="宋体" w:hAnsi="宋体" w:cs="宋体"/>
                <w:color w:val="000000"/>
                <w:sz w:val="21"/>
                <w:szCs w:val="21"/>
                <w:highlight w:val="none"/>
                <w:lang w:val="en-US" w:eastAsia="zh-CN"/>
              </w:rPr>
              <w:t>于到期日后</w:t>
            </w:r>
            <w:r>
              <w:rPr>
                <w:rFonts w:hint="eastAsia" w:ascii="宋体" w:hAnsi="宋体" w:cs="宋体"/>
                <w:sz w:val="21"/>
                <w:szCs w:val="21"/>
                <w:highlight w:val="none"/>
              </w:rPr>
              <w:t>〖</w:t>
            </w:r>
            <w:r>
              <w:rPr>
                <w:rFonts w:hint="eastAsia" w:ascii="宋体" w:hAnsi="宋体" w:cs="宋体"/>
                <w:sz w:val="21"/>
                <w:szCs w:val="21"/>
                <w:highlight w:val="none"/>
                <w:lang w:val="en-US" w:eastAsia="zh-CN"/>
              </w:rPr>
              <w:t>3</w:t>
            </w:r>
            <w:r>
              <w:rPr>
                <w:rFonts w:hint="eastAsia" w:ascii="宋体" w:hAnsi="宋体" w:cs="宋体"/>
                <w:sz w:val="21"/>
                <w:szCs w:val="21"/>
                <w:highlight w:val="none"/>
              </w:rPr>
              <w:t>〗</w:t>
            </w:r>
            <w:r>
              <w:rPr>
                <w:rFonts w:hint="eastAsia" w:ascii="宋体" w:hAnsi="宋体" w:cs="宋体"/>
                <w:color w:val="000000"/>
                <w:sz w:val="21"/>
                <w:szCs w:val="21"/>
                <w:highlight w:val="none"/>
              </w:rPr>
              <w:t>个</w:t>
            </w:r>
            <w:r>
              <w:rPr>
                <w:rFonts w:hint="eastAsia" w:ascii="宋体" w:hAnsi="宋体" w:cs="宋体"/>
                <w:color w:val="000000"/>
                <w:sz w:val="21"/>
                <w:szCs w:val="21"/>
                <w:highlight w:val="none"/>
                <w:lang w:eastAsia="zh-CN"/>
              </w:rPr>
              <w:t>交易日</w:t>
            </w:r>
            <w:r>
              <w:rPr>
                <w:rFonts w:hint="eastAsia" w:ascii="宋体" w:hAnsi="宋体" w:cs="宋体"/>
                <w:color w:val="000000"/>
                <w:sz w:val="21"/>
                <w:szCs w:val="21"/>
                <w:highlight w:val="none"/>
              </w:rPr>
              <w:t>内（遇节假日顺延）理财资金与收益一次性支付。如遇资金在途或法定工作日调整，实际资金到账日以公告为准。</w:t>
            </w:r>
            <w:r>
              <w:rPr>
                <w:rFonts w:hint="eastAsia" w:ascii="宋体" w:hAnsi="宋体" w:cs="宋体"/>
                <w:color w:val="000000"/>
                <w:kern w:val="0"/>
                <w:sz w:val="21"/>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ascii="宋体" w:hAnsi="宋体" w:cs="宋体"/>
                <w:color w:val="000000"/>
                <w:sz w:val="21"/>
                <w:szCs w:val="21"/>
                <w:highlight w:val="none"/>
              </w:rPr>
            </w:pPr>
            <w:r>
              <w:rPr>
                <w:rFonts w:hint="eastAsia" w:ascii="宋体" w:hAnsi="宋体" w:cs="宋体"/>
                <w:color w:val="000000"/>
                <w:sz w:val="21"/>
                <w:szCs w:val="21"/>
                <w:highlight w:val="none"/>
              </w:rPr>
              <w:t>收益分配</w:t>
            </w:r>
          </w:p>
        </w:tc>
        <w:tc>
          <w:tcPr>
            <w:tcW w:w="7185" w:type="dxa"/>
            <w:noWrap w:val="0"/>
            <w:vAlign w:val="center"/>
          </w:tcPr>
          <w:p>
            <w:pPr>
              <w:widowControl/>
              <w:spacing w:line="360" w:lineRule="auto"/>
              <w:contextualSpacing/>
              <w:rPr>
                <w:rFonts w:ascii="宋体" w:hAnsi="宋体" w:cs="宋体"/>
                <w:b/>
                <w:sz w:val="21"/>
                <w:szCs w:val="21"/>
                <w:highlight w:val="none"/>
              </w:rPr>
            </w:pPr>
            <w:r>
              <w:rPr>
                <w:rFonts w:hint="eastAsia" w:ascii="宋体" w:hAnsi="宋体" w:cs="宋体"/>
                <w:color w:val="000000"/>
                <w:sz w:val="21"/>
                <w:szCs w:val="21"/>
                <w:highlight w:val="none"/>
              </w:rPr>
              <w:t>在满足收益分配基准日理财计划份额净值大于1元的情况下，管理人将</w:t>
            </w:r>
            <w:r>
              <w:rPr>
                <w:rFonts w:hint="eastAsia" w:ascii="宋体" w:hAnsi="宋体" w:cs="宋体"/>
                <w:sz w:val="21"/>
                <w:szCs w:val="21"/>
                <w:highlight w:val="none"/>
              </w:rPr>
              <w:t>〖</w:t>
            </w:r>
            <w:r>
              <w:rPr>
                <w:rFonts w:hint="eastAsia" w:ascii="宋体" w:hAnsi="宋体" w:cs="宋体"/>
                <w:sz w:val="21"/>
                <w:szCs w:val="21"/>
                <w:highlight w:val="none"/>
                <w:lang w:val="en-US" w:eastAsia="zh-CN"/>
              </w:rPr>
              <w:t>不</w:t>
            </w:r>
            <w:r>
              <w:rPr>
                <w:rFonts w:hint="eastAsia" w:ascii="宋体" w:hAnsi="宋体" w:cs="宋体"/>
                <w:color w:val="000000"/>
                <w:sz w:val="21"/>
                <w:szCs w:val="21"/>
                <w:highlight w:val="none"/>
              </w:rPr>
              <w:t>定期</w:t>
            </w:r>
            <w:r>
              <w:rPr>
                <w:rFonts w:hint="eastAsia" w:ascii="宋体" w:hAnsi="宋体" w:cs="宋体"/>
                <w:sz w:val="21"/>
                <w:szCs w:val="21"/>
                <w:highlight w:val="none"/>
              </w:rPr>
              <w:t>〗</w:t>
            </w:r>
            <w:r>
              <w:rPr>
                <w:rFonts w:hint="eastAsia" w:ascii="宋体" w:hAnsi="宋体" w:cs="宋体"/>
                <w:color w:val="000000"/>
                <w:sz w:val="21"/>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业绩比较基准</w:t>
            </w:r>
          </w:p>
        </w:tc>
        <w:tc>
          <w:tcPr>
            <w:tcW w:w="7185" w:type="dxa"/>
            <w:noWrap w:val="0"/>
            <w:vAlign w:val="center"/>
          </w:tcPr>
          <w:p>
            <w:pPr>
              <w:widowControl/>
              <w:spacing w:line="360" w:lineRule="auto"/>
              <w:contextualSpacing/>
              <w:rPr>
                <w:rFonts w:hint="eastAsia" w:ascii="宋体" w:hAnsi="宋体" w:eastAsia="宋体" w:cs="宋体"/>
                <w:sz w:val="21"/>
                <w:szCs w:val="21"/>
                <w:highlight w:val="none"/>
                <w:lang w:eastAsia="zh-CN"/>
              </w:rPr>
            </w:pPr>
            <w:r>
              <w:rPr>
                <w:rFonts w:hint="eastAsia" w:ascii="宋体" w:hAnsi="宋体" w:cs="宋体"/>
                <w:sz w:val="21"/>
                <w:szCs w:val="21"/>
                <w:highlight w:val="none"/>
              </w:rPr>
              <w:t>本理财计划</w:t>
            </w:r>
            <w:r>
              <w:rPr>
                <w:rFonts w:hint="eastAsia" w:ascii="宋体" w:hAnsi="宋体" w:cs="宋体"/>
                <w:sz w:val="21"/>
                <w:szCs w:val="21"/>
                <w:highlight w:val="none"/>
                <w:lang w:val="en-US" w:eastAsia="zh-CN"/>
              </w:rPr>
              <w:t>各份额</w:t>
            </w:r>
            <w:r>
              <w:rPr>
                <w:rFonts w:hint="eastAsia" w:ascii="宋体" w:hAnsi="宋体" w:cs="宋体"/>
                <w:sz w:val="21"/>
                <w:szCs w:val="21"/>
                <w:highlight w:val="none"/>
              </w:rPr>
              <w:t>业绩比较基准为〖</w:t>
            </w:r>
            <w:r>
              <w:rPr>
                <w:rFonts w:hint="eastAsia" w:ascii="宋体" w:hAnsi="宋体" w:cs="宋体"/>
                <w:color w:val="000000" w:themeColor="text1"/>
                <w:sz w:val="21"/>
                <w:szCs w:val="21"/>
                <w:highlight w:val="none"/>
                <w:lang w:val="en-US" w:eastAsia="zh-CN"/>
                <w14:textFill>
                  <w14:solidFill>
                    <w14:schemeClr w14:val="tx1"/>
                  </w14:solidFill>
                </w14:textFill>
              </w:rPr>
              <w:t>中国人民银行公布的7天通知存款利率</w:t>
            </w:r>
            <w:r>
              <w:rPr>
                <w:rFonts w:hint="eastAsia" w:ascii="宋体" w:hAnsi="宋体" w:cs="宋体"/>
                <w:sz w:val="21"/>
                <w:szCs w:val="21"/>
                <w:highlight w:val="none"/>
              </w:rPr>
              <w:t>〗（年化）</w:t>
            </w:r>
            <w:r>
              <w:rPr>
                <w:rFonts w:hint="eastAsia" w:ascii="宋体" w:hAnsi="宋体" w:cs="宋体"/>
                <w:sz w:val="21"/>
                <w:szCs w:val="21"/>
                <w:highlight w:val="none"/>
                <w:lang w:eastAsia="zh-CN"/>
              </w:rPr>
              <w:t>。</w:t>
            </w:r>
          </w:p>
          <w:p>
            <w:pPr>
              <w:widowControl/>
              <w:spacing w:line="360" w:lineRule="auto"/>
              <w:jc w:val="left"/>
              <w:rPr>
                <w:rFonts w:hint="eastAsia" w:ascii="宋体" w:hAnsi="宋体" w:cs="宋体"/>
                <w:b/>
                <w:bCs/>
                <w:sz w:val="21"/>
                <w:szCs w:val="21"/>
                <w:highlight w:val="none"/>
              </w:rPr>
            </w:pPr>
            <w:r>
              <w:rPr>
                <w:rFonts w:hint="eastAsia" w:ascii="宋体" w:hAnsi="宋体" w:cs="宋体"/>
                <w:b/>
                <w:bCs/>
                <w:sz w:val="21"/>
                <w:szCs w:val="21"/>
                <w:highlight w:val="none"/>
              </w:rPr>
              <w:t>业绩基准测算依据：本理财计划</w:t>
            </w:r>
            <w:r>
              <w:rPr>
                <w:rFonts w:hint="eastAsia" w:ascii="宋体" w:hAnsi="宋体" w:cs="宋体"/>
                <w:b/>
                <w:bCs/>
                <w:sz w:val="21"/>
                <w:szCs w:val="21"/>
                <w:highlight w:val="none"/>
                <w:lang w:val="en-US" w:eastAsia="zh-CN"/>
              </w:rPr>
              <w:t>重点</w:t>
            </w:r>
            <w:r>
              <w:rPr>
                <w:rFonts w:hint="eastAsia" w:ascii="宋体" w:hAnsi="宋体" w:cs="宋体"/>
                <w:b/>
                <w:bCs/>
                <w:sz w:val="21"/>
                <w:szCs w:val="21"/>
                <w:highlight w:val="none"/>
              </w:rPr>
              <w:t>投资于</w:t>
            </w:r>
            <w:r>
              <w:rPr>
                <w:rFonts w:hint="eastAsia" w:ascii="宋体" w:hAnsi="宋体" w:cs="宋体"/>
                <w:b/>
                <w:bCs/>
                <w:sz w:val="21"/>
                <w:szCs w:val="21"/>
                <w:highlight w:val="none"/>
                <w:lang w:val="en-US" w:eastAsia="zh-CN"/>
              </w:rPr>
              <w:t>同业存单、存款、信用债等资产，根据当前市场环境，拟投资产收益率在1.5%-3.8%左右，同时根据流动性管理需要和监管要求配置不低于5%的高流动性资产</w:t>
            </w:r>
            <w:r>
              <w:rPr>
                <w:rFonts w:hint="eastAsia" w:ascii="宋体" w:hAnsi="宋体" w:cs="宋体"/>
                <w:b/>
                <w:bCs/>
                <w:sz w:val="21"/>
                <w:szCs w:val="21"/>
                <w:highlight w:val="none"/>
              </w:rPr>
              <w:t>。</w:t>
            </w:r>
          </w:p>
          <w:p>
            <w:pPr>
              <w:widowControl/>
              <w:spacing w:line="360" w:lineRule="auto"/>
              <w:jc w:val="left"/>
              <w:rPr>
                <w:rFonts w:hint="eastAsia" w:ascii="宋体" w:hAnsi="宋体" w:cs="宋体"/>
                <w:b/>
                <w:bCs/>
                <w:sz w:val="21"/>
                <w:szCs w:val="21"/>
                <w:highlight w:val="none"/>
              </w:rPr>
            </w:pPr>
            <w:r>
              <w:rPr>
                <w:rFonts w:hint="eastAsia" w:ascii="宋体" w:hAnsi="宋体" w:cs="宋体"/>
                <w:sz w:val="21"/>
                <w:szCs w:val="21"/>
                <w:highlight w:val="none"/>
              </w:rPr>
              <w:t>管理人有权根据市场情况及</w:t>
            </w:r>
            <w:r>
              <w:rPr>
                <w:rFonts w:hint="eastAsia" w:ascii="宋体" w:hAnsi="宋体" w:cs="宋体"/>
                <w:sz w:val="21"/>
                <w:szCs w:val="21"/>
                <w:highlight w:val="none"/>
                <w:lang w:eastAsia="zh-CN"/>
              </w:rPr>
              <w:t>理财计划</w:t>
            </w:r>
            <w:r>
              <w:rPr>
                <w:rFonts w:hint="eastAsia" w:ascii="宋体" w:hAnsi="宋体" w:cs="宋体"/>
                <w:sz w:val="21"/>
                <w:szCs w:val="21"/>
                <w:highlight w:val="none"/>
              </w:rPr>
              <w:t>运作情况调整业绩基准，并至少于新业绩基准启用前</w:t>
            </w:r>
            <w:r>
              <w:rPr>
                <w:rFonts w:hint="eastAsia" w:ascii="宋体" w:hAnsi="宋体" w:cs="宋体"/>
                <w:kern w:val="0"/>
                <w:sz w:val="21"/>
                <w:szCs w:val="21"/>
                <w:highlight w:val="none"/>
              </w:rPr>
              <w:t>〖</w:t>
            </w:r>
            <w:r>
              <w:rPr>
                <w:rFonts w:hint="eastAsia" w:ascii="宋体" w:hAnsi="宋体" w:cs="宋体"/>
                <w:kern w:val="0"/>
                <w:sz w:val="21"/>
                <w:szCs w:val="21"/>
                <w:highlight w:val="none"/>
                <w:lang w:val="en-US" w:eastAsia="zh-CN"/>
              </w:rPr>
              <w:t>2</w:t>
            </w:r>
            <w:r>
              <w:rPr>
                <w:rFonts w:hint="eastAsia" w:ascii="宋体" w:hAnsi="宋体" w:cs="宋体"/>
                <w:kern w:val="0"/>
                <w:sz w:val="21"/>
                <w:szCs w:val="21"/>
                <w:highlight w:val="none"/>
              </w:rPr>
              <w:t>〗</w:t>
            </w:r>
            <w:r>
              <w:rPr>
                <w:rFonts w:hint="eastAsia" w:ascii="宋体" w:hAnsi="宋体" w:cs="宋体"/>
                <w:sz w:val="21"/>
                <w:szCs w:val="21"/>
                <w:highlight w:val="none"/>
              </w:rPr>
              <w:t>个工作日公告。</w:t>
            </w:r>
          </w:p>
          <w:p>
            <w:pPr>
              <w:widowControl/>
              <w:spacing w:line="360" w:lineRule="auto"/>
              <w:contextualSpacing/>
              <w:rPr>
                <w:rFonts w:hint="eastAsia" w:ascii="宋体" w:hAnsi="宋体" w:cs="宋体"/>
                <w:color w:val="000000"/>
                <w:sz w:val="21"/>
                <w:szCs w:val="21"/>
                <w:highlight w:val="none"/>
              </w:rPr>
            </w:pPr>
            <w:r>
              <w:rPr>
                <w:rFonts w:hint="eastAsia" w:ascii="宋体" w:hAnsi="宋体" w:cs="宋体"/>
                <w:b/>
                <w:sz w:val="21"/>
                <w:szCs w:val="21"/>
                <w:highlight w:val="none"/>
              </w:rPr>
              <w:t>本理财计划为净值型理财产品，其业绩表现将随市场波动具有不确定性。本公司提醒投资者关注，业绩比较基准</w:t>
            </w:r>
            <w:r>
              <w:rPr>
                <w:rFonts w:hint="eastAsia" w:ascii="宋体" w:hAnsi="宋体" w:cs="宋体"/>
                <w:b/>
                <w:sz w:val="21"/>
                <w:szCs w:val="21"/>
                <w:highlight w:val="none"/>
                <w:lang w:val="en-US" w:eastAsia="zh-CN"/>
              </w:rPr>
              <w:t>不是预期收益率，并</w:t>
            </w:r>
            <w:r>
              <w:rPr>
                <w:rFonts w:hint="eastAsia" w:ascii="宋体" w:hAnsi="宋体" w:cs="宋体"/>
                <w:b/>
                <w:sz w:val="21"/>
                <w:szCs w:val="21"/>
                <w:highlight w:val="none"/>
              </w:rPr>
              <w:t>不代表理财计划的未来表现和实际收益，也不构成对理财计划收益的承诺。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产品费用</w:t>
            </w:r>
          </w:p>
        </w:tc>
        <w:tc>
          <w:tcPr>
            <w:tcW w:w="7185" w:type="dxa"/>
            <w:noWrap w:val="0"/>
            <w:vAlign w:val="center"/>
          </w:tcPr>
          <w:p>
            <w:pPr>
              <w:widowControl/>
              <w:spacing w:line="360" w:lineRule="auto"/>
              <w:contextualSpacing/>
              <w:rPr>
                <w:rFonts w:hint="eastAsia" w:ascii="宋体" w:hAnsi="宋体" w:cs="宋体"/>
                <w:bCs/>
                <w:color w:val="FF0000"/>
                <w:sz w:val="21"/>
                <w:szCs w:val="21"/>
                <w:highlight w:val="none"/>
              </w:rPr>
            </w:pPr>
            <w:r>
              <w:rPr>
                <w:rFonts w:hint="eastAsia" w:ascii="宋体" w:hAnsi="宋体" w:cs="宋体"/>
                <w:color w:val="000000"/>
                <w:sz w:val="21"/>
                <w:szCs w:val="21"/>
                <w:highlight w:val="none"/>
              </w:rPr>
              <w:t>1.</w:t>
            </w:r>
            <w:r>
              <w:rPr>
                <w:rFonts w:hint="eastAsia" w:ascii="宋体" w:hAnsi="宋体" w:cs="宋体"/>
                <w:color w:val="000000"/>
                <w:sz w:val="21"/>
                <w:szCs w:val="21"/>
                <w:highlight w:val="none"/>
                <w:lang w:eastAsia="zh-CN"/>
              </w:rPr>
              <w:t>销售服务费</w:t>
            </w:r>
            <w:r>
              <w:rPr>
                <w:rFonts w:hint="eastAsia" w:ascii="宋体" w:hAnsi="宋体" w:cs="宋体"/>
                <w:color w:val="000000"/>
                <w:sz w:val="21"/>
                <w:szCs w:val="21"/>
                <w:highlight w:val="none"/>
              </w:rPr>
              <w:t>：</w:t>
            </w:r>
            <w:r>
              <w:rPr>
                <w:rFonts w:hint="eastAsia" w:ascii="宋体" w:hAnsi="宋体" w:cs="宋体"/>
                <w:sz w:val="21"/>
                <w:szCs w:val="21"/>
                <w:highlight w:val="none"/>
              </w:rPr>
              <w:t>〖</w:t>
            </w:r>
            <w:r>
              <w:rPr>
                <w:rFonts w:hint="eastAsia" w:ascii="宋体" w:hAnsi="宋体" w:cs="宋体"/>
                <w:sz w:val="21"/>
                <w:szCs w:val="21"/>
                <w:highlight w:val="none"/>
                <w:lang w:val="en-US" w:eastAsia="zh-CN"/>
              </w:rPr>
              <w:t>B</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0.40%</w:t>
            </w:r>
            <w:r>
              <w:rPr>
                <w:rFonts w:hint="eastAsia" w:ascii="宋体" w:hAnsi="宋体" w:cs="宋体"/>
                <w:sz w:val="21"/>
                <w:szCs w:val="21"/>
                <w:highlight w:val="none"/>
              </w:rPr>
              <w:t>〗</w:t>
            </w:r>
            <w:r>
              <w:rPr>
                <w:rFonts w:hint="eastAsia" w:ascii="宋体" w:hAnsi="宋体" w:cs="宋体"/>
                <w:color w:val="000000"/>
                <w:sz w:val="21"/>
                <w:szCs w:val="21"/>
                <w:highlight w:val="none"/>
              </w:rPr>
              <w:t>的</w:t>
            </w:r>
            <w:r>
              <w:rPr>
                <w:rFonts w:hint="eastAsia" w:ascii="宋体" w:hAnsi="宋体" w:cs="宋体"/>
                <w:color w:val="000000"/>
                <w:sz w:val="21"/>
                <w:szCs w:val="21"/>
                <w:highlight w:val="none"/>
                <w:lang w:eastAsia="zh-CN"/>
              </w:rPr>
              <w:t>销售服务费，</w:t>
            </w:r>
            <w:r>
              <w:rPr>
                <w:rFonts w:hint="eastAsia" w:ascii="宋体" w:hAnsi="宋体" w:cs="宋体"/>
                <w:sz w:val="21"/>
                <w:szCs w:val="21"/>
                <w:highlight w:val="none"/>
              </w:rPr>
              <w:t>〖</w:t>
            </w:r>
            <w:r>
              <w:rPr>
                <w:rFonts w:hint="eastAsia" w:ascii="宋体" w:hAnsi="宋体" w:cs="宋体"/>
                <w:sz w:val="21"/>
                <w:szCs w:val="21"/>
                <w:highlight w:val="none"/>
                <w:lang w:val="en-US" w:eastAsia="zh-CN"/>
              </w:rPr>
              <w:t>C</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0.25%</w:t>
            </w:r>
            <w:r>
              <w:rPr>
                <w:rFonts w:hint="eastAsia" w:ascii="宋体" w:hAnsi="宋体" w:cs="宋体"/>
                <w:sz w:val="21"/>
                <w:szCs w:val="21"/>
                <w:highlight w:val="none"/>
              </w:rPr>
              <w:t>〗</w:t>
            </w:r>
            <w:r>
              <w:rPr>
                <w:rFonts w:hint="eastAsia" w:ascii="宋体" w:hAnsi="宋体" w:cs="宋体"/>
                <w:color w:val="000000"/>
                <w:sz w:val="21"/>
                <w:szCs w:val="21"/>
                <w:highlight w:val="none"/>
              </w:rPr>
              <w:t>的</w:t>
            </w:r>
            <w:r>
              <w:rPr>
                <w:rFonts w:hint="eastAsia" w:ascii="宋体" w:hAnsi="宋体" w:cs="宋体"/>
                <w:color w:val="000000"/>
                <w:sz w:val="21"/>
                <w:szCs w:val="21"/>
                <w:highlight w:val="none"/>
                <w:lang w:eastAsia="zh-CN"/>
              </w:rPr>
              <w:t>销售服务费，</w:t>
            </w:r>
            <w:r>
              <w:rPr>
                <w:rFonts w:hint="eastAsia" w:ascii="宋体" w:hAnsi="宋体" w:cs="宋体"/>
                <w:sz w:val="21"/>
                <w:szCs w:val="21"/>
                <w:highlight w:val="none"/>
              </w:rPr>
              <w:t>〖</w:t>
            </w:r>
            <w:r>
              <w:rPr>
                <w:rFonts w:hint="eastAsia" w:ascii="宋体" w:hAnsi="宋体" w:cs="宋体"/>
                <w:sz w:val="21"/>
                <w:szCs w:val="21"/>
                <w:highlight w:val="none"/>
                <w:lang w:val="en-US" w:eastAsia="zh-CN"/>
              </w:rPr>
              <w:t>D</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0.20%</w:t>
            </w:r>
            <w:r>
              <w:rPr>
                <w:rFonts w:hint="eastAsia" w:ascii="宋体" w:hAnsi="宋体" w:cs="宋体"/>
                <w:sz w:val="21"/>
                <w:szCs w:val="21"/>
                <w:highlight w:val="none"/>
              </w:rPr>
              <w:t>〗</w:t>
            </w:r>
            <w:r>
              <w:rPr>
                <w:rFonts w:hint="eastAsia" w:ascii="宋体" w:hAnsi="宋体" w:cs="宋体"/>
                <w:color w:val="000000"/>
                <w:sz w:val="21"/>
                <w:szCs w:val="21"/>
                <w:highlight w:val="none"/>
              </w:rPr>
              <w:t>的</w:t>
            </w:r>
            <w:r>
              <w:rPr>
                <w:rFonts w:hint="eastAsia" w:ascii="宋体" w:hAnsi="宋体" w:cs="宋体"/>
                <w:color w:val="000000"/>
                <w:sz w:val="21"/>
                <w:szCs w:val="21"/>
                <w:highlight w:val="none"/>
                <w:lang w:eastAsia="zh-CN"/>
              </w:rPr>
              <w:t>销售服务费，</w:t>
            </w:r>
            <w:r>
              <w:rPr>
                <w:rFonts w:hint="eastAsia" w:ascii="宋体" w:hAnsi="宋体" w:cs="宋体"/>
                <w:sz w:val="21"/>
                <w:szCs w:val="21"/>
                <w:highlight w:val="none"/>
              </w:rPr>
              <w:t>〖</w:t>
            </w:r>
            <w:r>
              <w:rPr>
                <w:rFonts w:hint="eastAsia" w:ascii="宋体" w:hAnsi="宋体" w:cs="宋体"/>
                <w:sz w:val="21"/>
                <w:szCs w:val="21"/>
                <w:highlight w:val="none"/>
                <w:lang w:val="en-US" w:eastAsia="zh-CN"/>
              </w:rPr>
              <w:t>E</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0.10%</w:t>
            </w:r>
            <w:r>
              <w:rPr>
                <w:rFonts w:hint="eastAsia" w:ascii="宋体" w:hAnsi="宋体" w:cs="宋体"/>
                <w:sz w:val="21"/>
                <w:szCs w:val="21"/>
                <w:highlight w:val="none"/>
              </w:rPr>
              <w:t>〗</w:t>
            </w:r>
            <w:r>
              <w:rPr>
                <w:rFonts w:hint="eastAsia" w:ascii="宋体" w:hAnsi="宋体" w:cs="宋体"/>
                <w:color w:val="000000"/>
                <w:sz w:val="21"/>
                <w:szCs w:val="21"/>
                <w:highlight w:val="none"/>
              </w:rPr>
              <w:t>的</w:t>
            </w:r>
            <w:r>
              <w:rPr>
                <w:rFonts w:hint="eastAsia" w:ascii="宋体" w:hAnsi="宋体" w:cs="宋体"/>
                <w:color w:val="000000"/>
                <w:sz w:val="21"/>
                <w:szCs w:val="21"/>
                <w:highlight w:val="none"/>
                <w:lang w:eastAsia="zh-CN"/>
              </w:rPr>
              <w:t>销售服务费，</w:t>
            </w:r>
            <w:r>
              <w:rPr>
                <w:rFonts w:hint="eastAsia" w:ascii="宋体" w:hAnsi="宋体" w:cs="宋体"/>
                <w:sz w:val="21"/>
                <w:szCs w:val="21"/>
                <w:highlight w:val="none"/>
              </w:rPr>
              <w:t>〖</w:t>
            </w:r>
            <w:r>
              <w:rPr>
                <w:rFonts w:hint="eastAsia" w:ascii="宋体" w:hAnsi="宋体" w:cs="宋体"/>
                <w:sz w:val="21"/>
                <w:szCs w:val="21"/>
                <w:highlight w:val="none"/>
                <w:lang w:val="en-US" w:eastAsia="zh-CN"/>
              </w:rPr>
              <w:t>P</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0.20%</w:t>
            </w:r>
            <w:r>
              <w:rPr>
                <w:rFonts w:hint="eastAsia" w:ascii="宋体" w:hAnsi="宋体" w:cs="宋体"/>
                <w:sz w:val="21"/>
                <w:szCs w:val="21"/>
                <w:highlight w:val="none"/>
              </w:rPr>
              <w:t>〗</w:t>
            </w:r>
            <w:r>
              <w:rPr>
                <w:rFonts w:hint="eastAsia" w:ascii="宋体" w:hAnsi="宋体" w:cs="宋体"/>
                <w:color w:val="000000"/>
                <w:sz w:val="21"/>
                <w:szCs w:val="21"/>
                <w:highlight w:val="none"/>
              </w:rPr>
              <w:t>的</w:t>
            </w:r>
            <w:r>
              <w:rPr>
                <w:rFonts w:hint="eastAsia" w:ascii="宋体" w:hAnsi="宋体" w:cs="宋体"/>
                <w:color w:val="000000"/>
                <w:sz w:val="21"/>
                <w:szCs w:val="21"/>
                <w:highlight w:val="none"/>
                <w:lang w:eastAsia="zh-CN"/>
              </w:rPr>
              <w:t>销售服务费，</w:t>
            </w:r>
            <w:r>
              <w:rPr>
                <w:rFonts w:hint="eastAsia" w:ascii="宋体" w:hAnsi="宋体" w:cs="宋体"/>
                <w:sz w:val="21"/>
                <w:szCs w:val="21"/>
                <w:highlight w:val="none"/>
              </w:rPr>
              <w:t>〖</w:t>
            </w:r>
            <w:r>
              <w:rPr>
                <w:rFonts w:hint="eastAsia" w:ascii="宋体" w:hAnsi="宋体" w:cs="宋体"/>
                <w:sz w:val="21"/>
                <w:szCs w:val="21"/>
                <w:highlight w:val="none"/>
                <w:lang w:val="en-US" w:eastAsia="zh-CN"/>
              </w:rPr>
              <w:t>Q</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0.25%</w:t>
            </w:r>
            <w:r>
              <w:rPr>
                <w:rFonts w:hint="eastAsia" w:ascii="宋体" w:hAnsi="宋体" w:cs="宋体"/>
                <w:sz w:val="21"/>
                <w:szCs w:val="21"/>
                <w:highlight w:val="none"/>
              </w:rPr>
              <w:t>〗</w:t>
            </w:r>
            <w:r>
              <w:rPr>
                <w:rFonts w:hint="eastAsia" w:ascii="宋体" w:hAnsi="宋体" w:cs="宋体"/>
                <w:color w:val="000000"/>
                <w:sz w:val="21"/>
                <w:szCs w:val="21"/>
                <w:highlight w:val="none"/>
              </w:rPr>
              <w:t>的</w:t>
            </w:r>
            <w:r>
              <w:rPr>
                <w:rFonts w:hint="eastAsia" w:ascii="宋体" w:hAnsi="宋体" w:cs="宋体"/>
                <w:color w:val="000000"/>
                <w:sz w:val="21"/>
                <w:szCs w:val="21"/>
                <w:highlight w:val="none"/>
                <w:lang w:eastAsia="zh-CN"/>
              </w:rPr>
              <w:t>销售服务费</w:t>
            </w:r>
            <w:r>
              <w:rPr>
                <w:rFonts w:hint="eastAsia" w:ascii="宋体" w:hAnsi="宋体" w:cs="宋体"/>
                <w:color w:val="000000"/>
                <w:sz w:val="21"/>
                <w:szCs w:val="21"/>
                <w:highlight w:val="none"/>
              </w:rPr>
              <w:t>。</w:t>
            </w:r>
          </w:p>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2.托管费：收取年化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0.025</w:t>
            </w:r>
            <w:r>
              <w:rPr>
                <w:rFonts w:hint="eastAsia" w:ascii="宋体" w:hAnsi="宋体" w:cs="宋体"/>
                <w:sz w:val="21"/>
                <w:szCs w:val="21"/>
                <w:highlight w:val="none"/>
              </w:rPr>
              <w:t>%〗</w:t>
            </w:r>
            <w:r>
              <w:rPr>
                <w:rFonts w:hint="eastAsia" w:ascii="宋体" w:hAnsi="宋体" w:cs="宋体"/>
                <w:color w:val="000000"/>
                <w:sz w:val="21"/>
                <w:szCs w:val="21"/>
                <w:highlight w:val="none"/>
              </w:rPr>
              <w:t>的托管费。</w:t>
            </w:r>
          </w:p>
          <w:p>
            <w:pPr>
              <w:widowControl/>
              <w:spacing w:line="360" w:lineRule="auto"/>
              <w:contextualSpacing/>
              <w:rPr>
                <w:rFonts w:hint="eastAsia" w:ascii="宋体" w:hAnsi="宋体" w:cs="宋体"/>
                <w:bCs/>
                <w:color w:val="FF0000"/>
                <w:sz w:val="21"/>
                <w:szCs w:val="21"/>
                <w:highlight w:val="none"/>
              </w:rPr>
            </w:pPr>
            <w:r>
              <w:rPr>
                <w:rFonts w:hint="eastAsia" w:ascii="宋体" w:hAnsi="宋体" w:cs="宋体"/>
                <w:color w:val="000000"/>
                <w:sz w:val="21"/>
                <w:szCs w:val="21"/>
                <w:highlight w:val="none"/>
              </w:rPr>
              <w:t>3.固定管理费：</w:t>
            </w:r>
            <w:r>
              <w:rPr>
                <w:rFonts w:hint="eastAsia" w:ascii="宋体" w:hAnsi="宋体" w:cs="宋体"/>
                <w:sz w:val="21"/>
                <w:szCs w:val="21"/>
                <w:highlight w:val="none"/>
              </w:rPr>
              <w:t>〖</w:t>
            </w:r>
            <w:r>
              <w:rPr>
                <w:rFonts w:hint="eastAsia" w:ascii="宋体" w:hAnsi="宋体" w:cs="宋体"/>
                <w:sz w:val="21"/>
                <w:szCs w:val="21"/>
                <w:highlight w:val="none"/>
                <w:lang w:val="en-US" w:eastAsia="zh-CN"/>
              </w:rPr>
              <w:t>B</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0.10%</w:t>
            </w:r>
            <w:r>
              <w:rPr>
                <w:rFonts w:hint="eastAsia" w:ascii="宋体" w:hAnsi="宋体" w:cs="宋体"/>
                <w:sz w:val="21"/>
                <w:szCs w:val="21"/>
                <w:highlight w:val="none"/>
              </w:rPr>
              <w:t>〗</w:t>
            </w:r>
            <w:r>
              <w:rPr>
                <w:rFonts w:hint="eastAsia" w:ascii="宋体" w:hAnsi="宋体" w:cs="宋体"/>
                <w:color w:val="000000"/>
                <w:sz w:val="21"/>
                <w:szCs w:val="21"/>
                <w:highlight w:val="none"/>
              </w:rPr>
              <w:t>的固定管理费</w:t>
            </w:r>
            <w:r>
              <w:rPr>
                <w:rFonts w:hint="eastAsia" w:ascii="宋体" w:hAnsi="宋体" w:cs="宋体"/>
                <w:color w:val="000000"/>
                <w:sz w:val="21"/>
                <w:szCs w:val="21"/>
                <w:highlight w:val="none"/>
                <w:lang w:eastAsia="zh-CN"/>
              </w:rPr>
              <w:t>，</w:t>
            </w:r>
            <w:r>
              <w:rPr>
                <w:rFonts w:hint="eastAsia" w:ascii="宋体" w:hAnsi="宋体" w:cs="宋体"/>
                <w:sz w:val="21"/>
                <w:szCs w:val="21"/>
                <w:highlight w:val="none"/>
              </w:rPr>
              <w:t>〖</w:t>
            </w:r>
            <w:r>
              <w:rPr>
                <w:rFonts w:hint="eastAsia" w:ascii="宋体" w:hAnsi="宋体" w:cs="宋体"/>
                <w:sz w:val="21"/>
                <w:szCs w:val="21"/>
                <w:highlight w:val="none"/>
                <w:lang w:val="en-US" w:eastAsia="zh-CN"/>
              </w:rPr>
              <w:t>C</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0.20%</w:t>
            </w:r>
            <w:r>
              <w:rPr>
                <w:rFonts w:hint="eastAsia" w:ascii="宋体" w:hAnsi="宋体" w:cs="宋体"/>
                <w:sz w:val="21"/>
                <w:szCs w:val="21"/>
                <w:highlight w:val="none"/>
              </w:rPr>
              <w:t>〗</w:t>
            </w:r>
            <w:r>
              <w:rPr>
                <w:rFonts w:hint="eastAsia" w:ascii="宋体" w:hAnsi="宋体" w:cs="宋体"/>
                <w:color w:val="000000"/>
                <w:sz w:val="21"/>
                <w:szCs w:val="21"/>
                <w:highlight w:val="none"/>
              </w:rPr>
              <w:t>的固定管理费</w:t>
            </w:r>
            <w:r>
              <w:rPr>
                <w:rFonts w:hint="eastAsia" w:ascii="宋体" w:hAnsi="宋体" w:cs="宋体"/>
                <w:color w:val="000000"/>
                <w:sz w:val="21"/>
                <w:szCs w:val="21"/>
                <w:highlight w:val="none"/>
                <w:lang w:eastAsia="zh-CN"/>
              </w:rPr>
              <w:t>，</w:t>
            </w:r>
            <w:r>
              <w:rPr>
                <w:rFonts w:hint="eastAsia" w:ascii="宋体" w:hAnsi="宋体" w:cs="宋体"/>
                <w:sz w:val="21"/>
                <w:szCs w:val="21"/>
                <w:highlight w:val="none"/>
              </w:rPr>
              <w:t>〖</w:t>
            </w:r>
            <w:r>
              <w:rPr>
                <w:rFonts w:hint="eastAsia" w:ascii="宋体" w:hAnsi="宋体" w:cs="宋体"/>
                <w:sz w:val="21"/>
                <w:szCs w:val="21"/>
                <w:highlight w:val="none"/>
                <w:lang w:val="en-US" w:eastAsia="zh-CN"/>
              </w:rPr>
              <w:t>D</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0.30%</w:t>
            </w:r>
            <w:r>
              <w:rPr>
                <w:rFonts w:hint="eastAsia" w:ascii="宋体" w:hAnsi="宋体" w:cs="宋体"/>
                <w:sz w:val="21"/>
                <w:szCs w:val="21"/>
                <w:highlight w:val="none"/>
              </w:rPr>
              <w:t>〗</w:t>
            </w:r>
            <w:r>
              <w:rPr>
                <w:rFonts w:hint="eastAsia" w:ascii="宋体" w:hAnsi="宋体" w:cs="宋体"/>
                <w:color w:val="000000"/>
                <w:sz w:val="21"/>
                <w:szCs w:val="21"/>
                <w:highlight w:val="none"/>
              </w:rPr>
              <w:t>的固定管理费</w:t>
            </w:r>
            <w:r>
              <w:rPr>
                <w:rFonts w:hint="eastAsia" w:ascii="宋体" w:hAnsi="宋体" w:cs="宋体"/>
                <w:color w:val="000000"/>
                <w:sz w:val="21"/>
                <w:szCs w:val="21"/>
                <w:highlight w:val="none"/>
                <w:lang w:eastAsia="zh-CN"/>
              </w:rPr>
              <w:t>，</w:t>
            </w:r>
            <w:r>
              <w:rPr>
                <w:rFonts w:hint="eastAsia" w:ascii="宋体" w:hAnsi="宋体" w:cs="宋体"/>
                <w:sz w:val="21"/>
                <w:szCs w:val="21"/>
                <w:highlight w:val="none"/>
              </w:rPr>
              <w:t>〖</w:t>
            </w:r>
            <w:r>
              <w:rPr>
                <w:rFonts w:hint="eastAsia" w:ascii="宋体" w:hAnsi="宋体" w:cs="宋体"/>
                <w:sz w:val="21"/>
                <w:szCs w:val="21"/>
                <w:highlight w:val="none"/>
                <w:lang w:val="en-US" w:eastAsia="zh-CN"/>
              </w:rPr>
              <w:t>E</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0.30%</w:t>
            </w:r>
            <w:r>
              <w:rPr>
                <w:rFonts w:hint="eastAsia" w:ascii="宋体" w:hAnsi="宋体" w:cs="宋体"/>
                <w:sz w:val="21"/>
                <w:szCs w:val="21"/>
                <w:highlight w:val="none"/>
              </w:rPr>
              <w:t>〗</w:t>
            </w:r>
            <w:r>
              <w:rPr>
                <w:rFonts w:hint="eastAsia" w:ascii="宋体" w:hAnsi="宋体" w:cs="宋体"/>
                <w:color w:val="000000"/>
                <w:sz w:val="21"/>
                <w:szCs w:val="21"/>
                <w:highlight w:val="none"/>
              </w:rPr>
              <w:t>的固定管理费</w:t>
            </w:r>
            <w:r>
              <w:rPr>
                <w:rFonts w:hint="eastAsia" w:ascii="宋体" w:hAnsi="宋体" w:cs="宋体"/>
                <w:color w:val="000000"/>
                <w:sz w:val="21"/>
                <w:szCs w:val="21"/>
                <w:highlight w:val="none"/>
                <w:lang w:eastAsia="zh-CN"/>
              </w:rPr>
              <w:t>，</w:t>
            </w:r>
            <w:r>
              <w:rPr>
                <w:rFonts w:hint="eastAsia" w:ascii="宋体" w:hAnsi="宋体" w:cs="宋体"/>
                <w:sz w:val="21"/>
                <w:szCs w:val="21"/>
                <w:highlight w:val="none"/>
              </w:rPr>
              <w:t>〖</w:t>
            </w:r>
            <w:r>
              <w:rPr>
                <w:rFonts w:hint="eastAsia" w:ascii="宋体" w:hAnsi="宋体" w:cs="宋体"/>
                <w:sz w:val="21"/>
                <w:szCs w:val="21"/>
                <w:highlight w:val="none"/>
                <w:lang w:val="en-US" w:eastAsia="zh-CN"/>
              </w:rPr>
              <w:t>P</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0.30%</w:t>
            </w:r>
            <w:r>
              <w:rPr>
                <w:rFonts w:hint="eastAsia" w:ascii="宋体" w:hAnsi="宋体" w:cs="宋体"/>
                <w:sz w:val="21"/>
                <w:szCs w:val="21"/>
                <w:highlight w:val="none"/>
              </w:rPr>
              <w:t>〗</w:t>
            </w:r>
            <w:r>
              <w:rPr>
                <w:rFonts w:hint="eastAsia" w:ascii="宋体" w:hAnsi="宋体" w:cs="宋体"/>
                <w:color w:val="000000"/>
                <w:sz w:val="21"/>
                <w:szCs w:val="21"/>
                <w:highlight w:val="none"/>
              </w:rPr>
              <w:t>的固定管理费</w:t>
            </w:r>
            <w:r>
              <w:rPr>
                <w:rFonts w:hint="eastAsia" w:ascii="宋体" w:hAnsi="宋体" w:cs="宋体"/>
                <w:color w:val="000000"/>
                <w:sz w:val="21"/>
                <w:szCs w:val="21"/>
                <w:highlight w:val="none"/>
                <w:lang w:eastAsia="zh-CN"/>
              </w:rPr>
              <w:t>，</w:t>
            </w:r>
            <w:r>
              <w:rPr>
                <w:rFonts w:hint="eastAsia" w:ascii="宋体" w:hAnsi="宋体" w:cs="宋体"/>
                <w:sz w:val="21"/>
                <w:szCs w:val="21"/>
                <w:highlight w:val="none"/>
              </w:rPr>
              <w:t>〖</w:t>
            </w:r>
            <w:r>
              <w:rPr>
                <w:rFonts w:hint="eastAsia" w:ascii="宋体" w:hAnsi="宋体" w:cs="宋体"/>
                <w:sz w:val="21"/>
                <w:szCs w:val="21"/>
                <w:highlight w:val="none"/>
                <w:lang w:val="en-US" w:eastAsia="zh-CN"/>
              </w:rPr>
              <w:t>Q</w:t>
            </w:r>
            <w:r>
              <w:rPr>
                <w:rFonts w:hint="eastAsia" w:ascii="宋体" w:hAnsi="宋体" w:cs="宋体"/>
                <w:bCs/>
                <w:color w:val="auto"/>
                <w:sz w:val="21"/>
                <w:szCs w:val="21"/>
                <w:highlight w:val="none"/>
                <w:lang w:val="en-US" w:eastAsia="zh-CN"/>
              </w:rPr>
              <w:t>份额</w:t>
            </w:r>
            <w:r>
              <w:rPr>
                <w:rFonts w:hint="eastAsia" w:ascii="宋体" w:hAnsi="宋体" w:cs="宋体"/>
                <w:sz w:val="21"/>
                <w:szCs w:val="21"/>
                <w:highlight w:val="none"/>
              </w:rPr>
              <w:t>〗</w:t>
            </w:r>
            <w:r>
              <w:rPr>
                <w:rFonts w:hint="eastAsia" w:ascii="宋体" w:hAnsi="宋体" w:cs="宋体"/>
                <w:color w:val="000000"/>
                <w:sz w:val="21"/>
                <w:szCs w:val="21"/>
                <w:highlight w:val="none"/>
              </w:rPr>
              <w:t>收取年化</w:t>
            </w:r>
            <w:r>
              <w:rPr>
                <w:rFonts w:hint="eastAsia" w:ascii="宋体" w:hAnsi="宋体" w:cs="宋体"/>
                <w:sz w:val="21"/>
                <w:szCs w:val="21"/>
                <w:highlight w:val="none"/>
              </w:rPr>
              <w:t>〖</w:t>
            </w:r>
            <w:r>
              <w:rPr>
                <w:rFonts w:hint="eastAsia" w:ascii="宋体" w:hAnsi="宋体" w:cs="宋体"/>
                <w:sz w:val="21"/>
                <w:szCs w:val="21"/>
                <w:highlight w:val="none"/>
                <w:lang w:val="en-US" w:eastAsia="zh-CN"/>
              </w:rPr>
              <w:t>0.15%</w:t>
            </w:r>
            <w:r>
              <w:rPr>
                <w:rFonts w:hint="eastAsia" w:ascii="宋体" w:hAnsi="宋体" w:cs="宋体"/>
                <w:sz w:val="21"/>
                <w:szCs w:val="21"/>
                <w:highlight w:val="none"/>
              </w:rPr>
              <w:t>〗</w:t>
            </w:r>
            <w:r>
              <w:rPr>
                <w:rFonts w:hint="eastAsia" w:ascii="宋体" w:hAnsi="宋体" w:cs="宋体"/>
                <w:color w:val="000000"/>
                <w:sz w:val="21"/>
                <w:szCs w:val="21"/>
                <w:highlight w:val="none"/>
              </w:rPr>
              <w:t>的固定管理费。</w:t>
            </w:r>
          </w:p>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4.认购费：本理财计划免除认购费。</w:t>
            </w:r>
          </w:p>
          <w:p>
            <w:pPr>
              <w:widowControl/>
              <w:spacing w:line="360" w:lineRule="auto"/>
              <w:contextualSpacing/>
              <w:rPr>
                <w:rFonts w:hint="eastAsia" w:ascii="宋体" w:hAnsi="宋体" w:cs="宋体"/>
                <w:bCs/>
                <w:sz w:val="21"/>
                <w:szCs w:val="21"/>
                <w:highlight w:val="none"/>
              </w:rPr>
            </w:pPr>
            <w:r>
              <w:rPr>
                <w:rFonts w:hint="eastAsia" w:ascii="宋体" w:hAnsi="宋体" w:cs="宋体"/>
                <w:bCs/>
                <w:sz w:val="21"/>
                <w:szCs w:val="21"/>
                <w:highlight w:val="none"/>
              </w:rPr>
              <w:t>5.申购费：</w:t>
            </w:r>
            <w:r>
              <w:rPr>
                <w:rFonts w:hint="eastAsia" w:ascii="宋体" w:hAnsi="宋体" w:cs="宋体"/>
                <w:color w:val="000000"/>
                <w:sz w:val="21"/>
                <w:szCs w:val="21"/>
                <w:highlight w:val="none"/>
              </w:rPr>
              <w:t>本理财计划免除申购费。</w:t>
            </w:r>
          </w:p>
          <w:p>
            <w:pPr>
              <w:widowControl/>
              <w:spacing w:line="360" w:lineRule="auto"/>
              <w:contextualSpacing/>
              <w:rPr>
                <w:rFonts w:ascii="宋体" w:hAnsi="宋体" w:cs="宋体"/>
                <w:bCs/>
                <w:sz w:val="21"/>
                <w:szCs w:val="21"/>
                <w:highlight w:val="none"/>
              </w:rPr>
            </w:pPr>
            <w:r>
              <w:rPr>
                <w:rFonts w:hint="eastAsia" w:ascii="宋体" w:hAnsi="宋体" w:cs="宋体"/>
                <w:bCs/>
                <w:sz w:val="21"/>
                <w:szCs w:val="21"/>
                <w:highlight w:val="none"/>
              </w:rPr>
              <w:t>6.赎回费：</w:t>
            </w:r>
            <w:r>
              <w:rPr>
                <w:rFonts w:hint="eastAsia" w:ascii="宋体" w:hAnsi="宋体" w:cs="宋体"/>
                <w:color w:val="000000"/>
                <w:sz w:val="21"/>
                <w:szCs w:val="21"/>
                <w:highlight w:val="none"/>
              </w:rPr>
              <w:t>本理财计划免除赎回费。</w:t>
            </w:r>
          </w:p>
          <w:p>
            <w:pPr>
              <w:widowControl/>
              <w:spacing w:line="360" w:lineRule="auto"/>
              <w:contextualSpacing/>
              <w:rPr>
                <w:rFonts w:hint="eastAsia" w:ascii="宋体" w:hAnsi="宋体" w:eastAsia="宋体" w:cs="宋体"/>
                <w:bCs/>
                <w:color w:val="FF0000"/>
                <w:sz w:val="21"/>
                <w:szCs w:val="21"/>
                <w:highlight w:val="none"/>
                <w:lang w:eastAsia="zh-CN"/>
              </w:rPr>
            </w:pPr>
            <w:r>
              <w:rPr>
                <w:rFonts w:hint="eastAsia" w:ascii="宋体" w:hAnsi="宋体" w:cs="宋体"/>
                <w:color w:val="000000"/>
                <w:sz w:val="21"/>
                <w:szCs w:val="21"/>
                <w:highlight w:val="none"/>
              </w:rPr>
              <w:t>7.浮动管理费。本理财计划免除</w:t>
            </w:r>
            <w:r>
              <w:rPr>
                <w:rFonts w:hint="eastAsia" w:ascii="宋体" w:hAnsi="宋体" w:cs="宋体"/>
                <w:color w:val="000000"/>
                <w:sz w:val="21"/>
                <w:szCs w:val="21"/>
                <w:highlight w:val="none"/>
                <w:lang w:val="en-US" w:eastAsia="zh-CN"/>
              </w:rPr>
              <w:t>浮动管理</w:t>
            </w:r>
            <w:r>
              <w:rPr>
                <w:rFonts w:hint="eastAsia" w:ascii="宋体" w:hAnsi="宋体" w:cs="宋体"/>
                <w:color w:val="000000"/>
                <w:sz w:val="21"/>
                <w:szCs w:val="21"/>
                <w:highlight w:val="none"/>
              </w:rPr>
              <w:t>费</w:t>
            </w:r>
            <w:r>
              <w:rPr>
                <w:rFonts w:hint="eastAsia" w:ascii="宋体" w:hAnsi="宋体" w:cs="宋体"/>
                <w:color w:val="00000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提前终止</w:t>
            </w:r>
          </w:p>
        </w:tc>
        <w:tc>
          <w:tcPr>
            <w:tcW w:w="7185" w:type="dxa"/>
            <w:noWrap w:val="0"/>
            <w:vAlign w:val="center"/>
          </w:tcPr>
          <w:p>
            <w:pPr>
              <w:widowControl/>
              <w:spacing w:line="360" w:lineRule="auto"/>
              <w:contextualSpacing/>
              <w:rPr>
                <w:rFonts w:hint="eastAsia" w:ascii="宋体" w:hAnsi="宋体" w:cs="宋体"/>
                <w:b/>
                <w:color w:val="000000"/>
                <w:kern w:val="0"/>
                <w:sz w:val="21"/>
                <w:szCs w:val="21"/>
                <w:highlight w:val="none"/>
              </w:rPr>
            </w:pPr>
            <w:r>
              <w:rPr>
                <w:rFonts w:hint="eastAsia" w:ascii="宋体" w:hAnsi="宋体" w:cs="宋体"/>
                <w:b/>
                <w:color w:val="000000"/>
                <w:kern w:val="0"/>
                <w:sz w:val="21"/>
                <w:szCs w:val="21"/>
                <w:highlight w:val="none"/>
              </w:rPr>
              <w:t>如遇国家金融政策出现重大调整并影响到本理财计划的正常运行的、市场收益率大幅波动可能或实质影响理财计划收益等情况，管理人有权提前</w:t>
            </w:r>
            <w:r>
              <w:rPr>
                <w:rFonts w:hint="eastAsia" w:ascii="宋体" w:hAnsi="宋体" w:cs="宋体"/>
                <w:b/>
                <w:color w:val="000000"/>
                <w:kern w:val="0"/>
                <w:sz w:val="21"/>
                <w:szCs w:val="21"/>
                <w:highlight w:val="none"/>
                <w:lang w:eastAsia="zh-CN"/>
              </w:rPr>
              <w:t>全部或部分</w:t>
            </w:r>
            <w:r>
              <w:rPr>
                <w:rFonts w:hint="eastAsia" w:ascii="宋体" w:hAnsi="宋体" w:cs="宋体"/>
                <w:b/>
                <w:color w:val="000000"/>
                <w:kern w:val="0"/>
                <w:sz w:val="21"/>
                <w:szCs w:val="21"/>
                <w:highlight w:val="none"/>
              </w:rPr>
              <w:t>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税费规定</w:t>
            </w:r>
          </w:p>
        </w:tc>
        <w:tc>
          <w:tcPr>
            <w:tcW w:w="7185" w:type="dxa"/>
            <w:noWrap w:val="0"/>
            <w:vAlign w:val="center"/>
          </w:tcPr>
          <w:p>
            <w:pPr>
              <w:spacing w:line="360" w:lineRule="auto"/>
              <w:outlineLvl w:val="0"/>
              <w:rPr>
                <w:rFonts w:hint="eastAsia" w:ascii="宋体" w:hAnsi="宋体" w:cs="宋体"/>
                <w:color w:val="000000"/>
                <w:sz w:val="21"/>
                <w:szCs w:val="21"/>
                <w:highlight w:val="none"/>
              </w:rPr>
            </w:pPr>
            <w:r>
              <w:rPr>
                <w:rFonts w:hint="eastAsia" w:ascii="宋体" w:hAnsi="宋体" w:cs="宋体"/>
                <w:color w:val="000000"/>
                <w:sz w:val="21"/>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widowControl/>
              <w:spacing w:line="360" w:lineRule="auto"/>
              <w:contextualSpacing/>
              <w:rPr>
                <w:rFonts w:hint="eastAsia" w:ascii="宋体" w:hAnsi="宋体" w:cs="宋体"/>
                <w:color w:val="000000"/>
                <w:sz w:val="21"/>
                <w:szCs w:val="21"/>
                <w:highlight w:val="none"/>
              </w:rPr>
            </w:pPr>
            <w:r>
              <w:rPr>
                <w:rFonts w:hint="eastAsia" w:ascii="宋体" w:hAnsi="宋体" w:cs="宋体"/>
                <w:color w:val="000000"/>
                <w:sz w:val="21"/>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widowControl/>
              <w:spacing w:line="360" w:lineRule="auto"/>
              <w:contextualSpacing/>
              <w:jc w:val="center"/>
              <w:rPr>
                <w:rFonts w:hint="eastAsia" w:ascii="宋体" w:hAnsi="宋体" w:cs="宋体"/>
                <w:color w:val="000000"/>
                <w:kern w:val="0"/>
                <w:sz w:val="21"/>
                <w:szCs w:val="21"/>
                <w:highlight w:val="none"/>
              </w:rPr>
            </w:pPr>
            <w:r>
              <w:rPr>
                <w:rFonts w:hint="eastAsia" w:ascii="宋体" w:hAnsi="宋体" w:cs="宋体"/>
                <w:color w:val="000000"/>
                <w:sz w:val="21"/>
                <w:szCs w:val="21"/>
                <w:highlight w:val="none"/>
              </w:rPr>
              <w:t>融资服务</w:t>
            </w:r>
          </w:p>
        </w:tc>
        <w:tc>
          <w:tcPr>
            <w:tcW w:w="7185" w:type="dxa"/>
            <w:noWrap w:val="0"/>
            <w:vAlign w:val="bottom"/>
          </w:tcPr>
          <w:p>
            <w:pPr>
              <w:spacing w:line="360" w:lineRule="auto"/>
              <w:rPr>
                <w:rFonts w:hint="eastAsia" w:ascii="宋体" w:hAnsi="宋体" w:cs="宋体"/>
                <w:b/>
                <w:color w:val="000000"/>
                <w:kern w:val="0"/>
                <w:sz w:val="21"/>
                <w:szCs w:val="21"/>
                <w:highlight w:val="none"/>
              </w:rPr>
            </w:pPr>
            <w:r>
              <w:rPr>
                <w:rFonts w:hint="eastAsia" w:ascii="宋体" w:hAnsi="宋体" w:cs="宋体"/>
                <w:b/>
                <w:color w:val="000000"/>
                <w:kern w:val="0"/>
                <w:sz w:val="21"/>
                <w:szCs w:val="21"/>
                <w:highlight w:val="none"/>
              </w:rPr>
              <w:t>投资者在理财期限内不能提前</w:t>
            </w:r>
            <w:r>
              <w:rPr>
                <w:rFonts w:hint="eastAsia" w:ascii="宋体" w:hAnsi="宋体" w:cs="宋体"/>
                <w:b/>
                <w:color w:val="000000"/>
                <w:kern w:val="0"/>
                <w:sz w:val="21"/>
                <w:szCs w:val="21"/>
                <w:highlight w:val="none"/>
                <w:lang w:eastAsia="zh-CN"/>
              </w:rPr>
              <w:t>赎回</w:t>
            </w:r>
            <w:r>
              <w:rPr>
                <w:rFonts w:hint="eastAsia" w:ascii="宋体" w:hAnsi="宋体" w:cs="宋体"/>
                <w:b/>
                <w:color w:val="000000"/>
                <w:kern w:val="0"/>
                <w:sz w:val="21"/>
                <w:szCs w:val="21"/>
                <w:highlight w:val="none"/>
              </w:rPr>
              <w:t>，</w:t>
            </w:r>
            <w:r>
              <w:rPr>
                <w:rFonts w:hint="eastAsia" w:ascii="宋体" w:hAnsi="宋体" w:cs="宋体"/>
                <w:b/>
                <w:color w:val="000000"/>
                <w:sz w:val="21"/>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contextualSpacing/>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color w:val="000000"/>
                <w:kern w:val="0"/>
                <w:sz w:val="21"/>
                <w:szCs w:val="21"/>
                <w:highlight w:val="none"/>
              </w:rPr>
            </w:pPr>
            <w:r>
              <w:rPr>
                <w:rFonts w:hint="eastAsia" w:ascii="宋体" w:hAnsi="宋体" w:cs="宋体"/>
                <w:color w:val="000000"/>
                <w:sz w:val="21"/>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 w:val="21"/>
                <w:szCs w:val="21"/>
                <w:highlight w:val="none"/>
              </w:rPr>
              <w:t>（具体以销售机构规定为准）</w:t>
            </w:r>
          </w:p>
          <w:p>
            <w:pPr>
              <w:spacing w:line="360" w:lineRule="auto"/>
              <w:rPr>
                <w:rFonts w:hint="eastAsia" w:ascii="宋体" w:hAnsi="宋体" w:cs="宋体"/>
                <w:color w:val="000000"/>
                <w:kern w:val="0"/>
                <w:sz w:val="21"/>
                <w:szCs w:val="21"/>
                <w:highlight w:val="none"/>
              </w:rPr>
            </w:pPr>
            <w:r>
              <w:rPr>
                <w:rFonts w:hint="eastAsia" w:ascii="宋体" w:hAnsi="宋体" w:cs="宋体"/>
                <w:color w:val="000000"/>
                <w:kern w:val="0"/>
                <w:sz w:val="21"/>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ind w:firstLine="482" w:firstLineChars="200"/>
        <w:outlineLvl w:val="1"/>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20"/>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numPr>
          <w:ilvl w:val="0"/>
          <w:numId w:val="21"/>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固定收益类资产：包括但不限于各类债券、存款、货币市场金融工具、债券基金、质押式及买断式回购，其他符合监管要求的固定收益类资产及资产管理产品。</w:t>
      </w:r>
    </w:p>
    <w:p>
      <w:pPr>
        <w:numPr>
          <w:ilvl w:val="0"/>
          <w:numId w:val="21"/>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权益类资产：包括国内发行上市优先股</w:t>
      </w:r>
      <w:r>
        <w:rPr>
          <w:rFonts w:hint="eastAsia" w:ascii="宋体" w:hAnsi="宋体" w:cs="宋体"/>
          <w:bCs/>
          <w:sz w:val="24"/>
          <w:highlight w:val="none"/>
          <w:lang w:eastAsia="zh-CN"/>
        </w:rPr>
        <w:t>及相关资产的资产管理产品。</w:t>
      </w:r>
    </w:p>
    <w:p>
      <w:pPr>
        <w:numPr>
          <w:ilvl w:val="0"/>
          <w:numId w:val="20"/>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val="en-US" w:eastAsia="zh-CN"/>
        </w:rPr>
        <w:t>总</w:t>
      </w:r>
      <w:r>
        <w:rPr>
          <w:rFonts w:hint="eastAsia" w:ascii="宋体" w:hAnsi="宋体" w:cs="宋体"/>
          <w:bCs/>
          <w:sz w:val="24"/>
          <w:highlight w:val="none"/>
        </w:rPr>
        <w:t>资产的配置比例如下：</w:t>
      </w: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4740"/>
        <w:gridCol w:w="1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6" w:type="dxa"/>
            <w:noWrap w:val="0"/>
            <w:vAlign w:val="top"/>
          </w:tcPr>
          <w:p>
            <w:pPr>
              <w:spacing w:line="360" w:lineRule="auto"/>
              <w:rPr>
                <w:rFonts w:ascii="宋体" w:hAnsi="宋体" w:cs="宋体"/>
                <w:bCs/>
                <w:szCs w:val="21"/>
                <w:highlight w:val="none"/>
              </w:rPr>
            </w:pPr>
          </w:p>
        </w:tc>
        <w:tc>
          <w:tcPr>
            <w:tcW w:w="4740" w:type="dxa"/>
            <w:noWrap w:val="0"/>
            <w:vAlign w:val="top"/>
          </w:tcPr>
          <w:p>
            <w:pPr>
              <w:spacing w:line="360" w:lineRule="auto"/>
              <w:jc w:val="center"/>
              <w:rPr>
                <w:rFonts w:ascii="宋体" w:hAnsi="宋体" w:cs="宋体"/>
                <w:bCs/>
                <w:szCs w:val="21"/>
                <w:highlight w:val="none"/>
              </w:rPr>
            </w:pPr>
            <w:r>
              <w:rPr>
                <w:rFonts w:hint="eastAsia" w:ascii="宋体" w:hAnsi="宋体" w:cs="宋体"/>
                <w:bCs/>
                <w:szCs w:val="21"/>
                <w:highlight w:val="none"/>
              </w:rPr>
              <w:t>投资资产</w:t>
            </w:r>
          </w:p>
        </w:tc>
        <w:tc>
          <w:tcPr>
            <w:tcW w:w="1996" w:type="dxa"/>
            <w:noWrap w:val="0"/>
            <w:vAlign w:val="top"/>
          </w:tcPr>
          <w:p>
            <w:pPr>
              <w:spacing w:line="360" w:lineRule="auto"/>
              <w:jc w:val="center"/>
              <w:rPr>
                <w:rFonts w:ascii="宋体" w:hAnsi="宋体" w:cs="宋体"/>
                <w:bCs/>
                <w:szCs w:val="21"/>
                <w:highlight w:val="none"/>
              </w:rPr>
            </w:pPr>
            <w:r>
              <w:rPr>
                <w:rFonts w:hint="eastAsia" w:ascii="宋体" w:hAnsi="宋体" w:cs="宋体"/>
                <w:bCs/>
                <w:szCs w:val="21"/>
                <w:highlight w:val="none"/>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6" w:type="dxa"/>
            <w:vMerge w:val="restart"/>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rPr>
              <w:t>大类资产类型</w:t>
            </w:r>
          </w:p>
        </w:tc>
        <w:tc>
          <w:tcPr>
            <w:tcW w:w="4740" w:type="dxa"/>
            <w:noWrap w:val="0"/>
            <w:vAlign w:val="top"/>
          </w:tcPr>
          <w:p>
            <w:pPr>
              <w:spacing w:line="360" w:lineRule="auto"/>
              <w:jc w:val="center"/>
              <w:rPr>
                <w:rFonts w:ascii="宋体" w:hAnsi="宋体" w:cs="宋体"/>
                <w:bCs/>
                <w:szCs w:val="21"/>
                <w:highlight w:val="none"/>
              </w:rPr>
            </w:pPr>
            <w:r>
              <w:rPr>
                <w:rFonts w:hint="eastAsia" w:ascii="宋体" w:hAnsi="宋体" w:cs="宋体"/>
                <w:bCs/>
                <w:szCs w:val="21"/>
                <w:highlight w:val="none"/>
              </w:rPr>
              <w:t>固定收益类资产</w:t>
            </w:r>
          </w:p>
        </w:tc>
        <w:tc>
          <w:tcPr>
            <w:tcW w:w="1996" w:type="dxa"/>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lang w:val="en-US" w:eastAsia="zh-CN"/>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6" w:type="dxa"/>
            <w:vMerge w:val="continue"/>
            <w:noWrap w:val="0"/>
            <w:vAlign w:val="center"/>
          </w:tcPr>
          <w:p>
            <w:pPr>
              <w:spacing w:line="360" w:lineRule="auto"/>
              <w:jc w:val="left"/>
              <w:rPr>
                <w:rFonts w:ascii="宋体" w:hAnsi="宋体" w:cs="宋体"/>
                <w:bCs/>
                <w:szCs w:val="21"/>
                <w:highlight w:val="none"/>
              </w:rPr>
            </w:pPr>
          </w:p>
        </w:tc>
        <w:tc>
          <w:tcPr>
            <w:tcW w:w="4740" w:type="dxa"/>
            <w:noWrap w:val="0"/>
            <w:vAlign w:val="top"/>
          </w:tcPr>
          <w:p>
            <w:pPr>
              <w:spacing w:line="360" w:lineRule="auto"/>
              <w:jc w:val="center"/>
              <w:rPr>
                <w:rFonts w:ascii="宋体" w:hAnsi="宋体" w:cs="宋体"/>
                <w:bCs/>
                <w:szCs w:val="21"/>
                <w:highlight w:val="none"/>
              </w:rPr>
            </w:pPr>
            <w:r>
              <w:rPr>
                <w:rFonts w:hint="eastAsia" w:ascii="宋体" w:hAnsi="宋体" w:cs="宋体"/>
                <w:bCs/>
                <w:szCs w:val="21"/>
                <w:highlight w:val="none"/>
              </w:rPr>
              <w:t>权益类资产</w:t>
            </w:r>
          </w:p>
        </w:tc>
        <w:tc>
          <w:tcPr>
            <w:tcW w:w="1996" w:type="dxa"/>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86" w:type="dxa"/>
            <w:vMerge w:val="continue"/>
            <w:noWrap w:val="0"/>
            <w:vAlign w:val="center"/>
          </w:tcPr>
          <w:p>
            <w:pPr>
              <w:spacing w:line="360" w:lineRule="auto"/>
              <w:jc w:val="left"/>
              <w:rPr>
                <w:rFonts w:ascii="宋体" w:hAnsi="宋体" w:cs="宋体"/>
                <w:bCs/>
                <w:szCs w:val="21"/>
                <w:highlight w:val="none"/>
              </w:rPr>
            </w:pPr>
          </w:p>
        </w:tc>
        <w:tc>
          <w:tcPr>
            <w:tcW w:w="4740" w:type="dxa"/>
            <w:noWrap w:val="0"/>
            <w:vAlign w:val="top"/>
          </w:tcPr>
          <w:p>
            <w:pPr>
              <w:spacing w:line="360" w:lineRule="auto"/>
              <w:jc w:val="center"/>
              <w:rPr>
                <w:rFonts w:hint="eastAsia" w:ascii="宋体" w:hAnsi="宋体" w:cs="宋体"/>
                <w:bCs/>
                <w:szCs w:val="21"/>
                <w:highlight w:val="none"/>
              </w:rPr>
            </w:pPr>
            <w:r>
              <w:rPr>
                <w:rFonts w:hint="eastAsia" w:ascii="宋体" w:hAnsi="宋体" w:cs="宋体"/>
                <w:bCs/>
                <w:szCs w:val="21"/>
                <w:highlight w:val="none"/>
                <w:lang w:val="en-US" w:eastAsia="zh-CN"/>
              </w:rPr>
              <w:t>其他符合监管要求</w:t>
            </w:r>
            <w:r>
              <w:rPr>
                <w:rFonts w:hint="eastAsia" w:ascii="宋体" w:hAnsi="宋体" w:cs="宋体"/>
                <w:bCs/>
                <w:szCs w:val="21"/>
                <w:highlight w:val="none"/>
              </w:rPr>
              <w:t>资产</w:t>
            </w:r>
          </w:p>
        </w:tc>
        <w:tc>
          <w:tcPr>
            <w:tcW w:w="1996" w:type="dxa"/>
            <w:noWrap w:val="0"/>
            <w:vAlign w:val="center"/>
          </w:tcPr>
          <w:p>
            <w:pPr>
              <w:spacing w:line="360" w:lineRule="auto"/>
              <w:jc w:val="center"/>
              <w:rPr>
                <w:rFonts w:hint="eastAsia" w:ascii="宋体" w:hAnsi="宋体" w:cs="宋体"/>
                <w:bCs/>
                <w:szCs w:val="21"/>
                <w:highlight w:val="none"/>
              </w:rPr>
            </w:pPr>
            <w:r>
              <w:rPr>
                <w:rFonts w:hint="eastAsia" w:ascii="宋体" w:hAnsi="宋体" w:cs="宋体"/>
                <w:bCs/>
                <w:szCs w:val="21"/>
                <w:highlight w:val="none"/>
                <w:lang w:val="en-US" w:eastAsia="zh-CN"/>
              </w:rPr>
              <w:t>0-20%</w:t>
            </w:r>
          </w:p>
        </w:tc>
      </w:tr>
    </w:tbl>
    <w:p>
      <w:pPr>
        <w:pStyle w:val="17"/>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cs="宋体"/>
          <w:bCs/>
          <w:color w:val="auto"/>
          <w:kern w:val="2"/>
          <w:highlight w:val="none"/>
        </w:rPr>
      </w:pPr>
      <w:r>
        <w:rPr>
          <w:rFonts w:hint="eastAsia" w:ascii="宋体" w:hAnsi="宋体" w:cs="宋体"/>
          <w:bCs/>
          <w:color w:val="auto"/>
          <w:kern w:val="2"/>
          <w:highlight w:val="none"/>
        </w:rPr>
        <w:t>本理财计划自成立日起</w:t>
      </w:r>
      <w:r>
        <w:rPr>
          <w:rFonts w:hint="eastAsia" w:ascii="宋体" w:hAnsi="宋体" w:cs="宋体"/>
          <w:highlight w:val="none"/>
        </w:rPr>
        <w:t>〖</w:t>
      </w:r>
      <w:r>
        <w:rPr>
          <w:rFonts w:hint="eastAsia" w:ascii="宋体" w:hAnsi="宋体" w:cs="宋体"/>
          <w:highlight w:val="none"/>
          <w:lang w:val="en-US" w:eastAsia="zh-CN"/>
        </w:rPr>
        <w:t>1</w:t>
      </w:r>
      <w:r>
        <w:rPr>
          <w:rFonts w:hint="eastAsia" w:ascii="宋体" w:hAnsi="宋体" w:cs="宋体"/>
          <w:highlight w:val="none"/>
        </w:rPr>
        <w:t>〗</w:t>
      </w:r>
      <w:r>
        <w:rPr>
          <w:rFonts w:hint="eastAsia" w:ascii="宋体" w:hAnsi="宋体" w:cs="宋体"/>
          <w:bCs/>
          <w:color w:val="auto"/>
          <w:kern w:val="2"/>
          <w:highlight w:val="none"/>
        </w:rPr>
        <w:t>个月为建仓期，管理人应当在建仓期结束前使各项投资比例符合约定。在理财计划存续期间如遇市场变化导致各类投资品投资比例暂时超出以上范围，为保护投资者利益，管理人将在流动性受限资产可出售、可转让或者恢复交易的15个交易日内调整至上述比例范围。</w:t>
      </w:r>
    </w:p>
    <w:p>
      <w:pPr>
        <w:numPr>
          <w:ilvl w:val="0"/>
          <w:numId w:val="20"/>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大类</w:t>
      </w:r>
      <w:r>
        <w:rPr>
          <w:rFonts w:hint="eastAsia" w:ascii="宋体" w:hAnsi="宋体" w:cs="宋体"/>
          <w:bCs/>
          <w:color w:val="auto"/>
          <w:kern w:val="2"/>
          <w:highlight w:val="none"/>
        </w:rPr>
        <w:t>资产配置策略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管理人通过对宏观经济运行状况、国家政策、货币政策、产业政策、市场资金环境及证券市场环境的分析来判断经济周期的阶段和位置，通过定量和定性相结合的方式进行</w:t>
      </w:r>
      <w:r>
        <w:rPr>
          <w:rFonts w:hint="eastAsia" w:ascii="宋体" w:hAnsi="宋体" w:cs="宋体"/>
          <w:bCs/>
          <w:color w:val="auto"/>
          <w:kern w:val="2"/>
          <w:highlight w:val="none"/>
          <w:lang w:val="en-US" w:eastAsia="zh-CN"/>
        </w:rPr>
        <w:t>大类</w:t>
      </w:r>
      <w:r>
        <w:rPr>
          <w:rFonts w:hint="eastAsia" w:ascii="宋体" w:hAnsi="宋体" w:cs="宋体"/>
          <w:bCs/>
          <w:color w:val="auto"/>
          <w:kern w:val="2"/>
          <w:highlight w:val="none"/>
        </w:rPr>
        <w:t>资产管理</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主动判断市场时机进行资产配置，确定在</w:t>
      </w:r>
      <w:r>
        <w:rPr>
          <w:rFonts w:hint="eastAsia"/>
          <w:highlight w:val="none"/>
          <w:lang w:val="en-US" w:eastAsia="zh-CN"/>
        </w:rPr>
        <w:t>存款、存单、</w:t>
      </w:r>
      <w:r>
        <w:rPr>
          <w:rFonts w:hint="eastAsia" w:ascii="宋体" w:hAnsi="宋体" w:cs="宋体"/>
          <w:bCs/>
          <w:color w:val="auto"/>
          <w:kern w:val="2"/>
          <w:highlight w:val="none"/>
        </w:rPr>
        <w:t>债券</w:t>
      </w:r>
      <w:r>
        <w:rPr>
          <w:rFonts w:hint="eastAsia" w:ascii="宋体" w:hAnsi="宋体" w:cs="宋体"/>
          <w:bCs/>
          <w:color w:val="auto"/>
          <w:kern w:val="2"/>
          <w:highlight w:val="none"/>
          <w:lang w:eastAsia="zh-CN"/>
        </w:rPr>
        <w:t>、</w:t>
      </w:r>
      <w:r>
        <w:rPr>
          <w:rFonts w:hint="eastAsia" w:ascii="宋体" w:hAnsi="宋体" w:cs="宋体"/>
          <w:bCs/>
          <w:color w:val="auto"/>
          <w:kern w:val="2"/>
          <w:highlight w:val="none"/>
          <w:lang w:val="en-US" w:eastAsia="zh-CN"/>
        </w:rPr>
        <w:t>优先股</w:t>
      </w:r>
      <w:r>
        <w:rPr>
          <w:rFonts w:hint="eastAsia" w:ascii="宋体" w:hAnsi="宋体" w:cs="宋体"/>
          <w:bCs/>
          <w:color w:val="auto"/>
          <w:kern w:val="2"/>
          <w:highlight w:val="none"/>
        </w:rPr>
        <w:t>等各类资产上的投资比例。</w:t>
      </w:r>
    </w:p>
    <w:p>
      <w:pPr>
        <w:numPr>
          <w:ilvl w:val="0"/>
          <w:numId w:val="23"/>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债券投资策略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管理人本着稳健投资的理念，基于宏观经济形势、货币政策、固定收益资产价格走势，采用安全性和流动性优先、优选投资品种，</w:t>
      </w:r>
      <w:r>
        <w:rPr>
          <w:rFonts w:hint="eastAsia" w:ascii="宋体" w:hAnsi="宋体" w:cs="宋体"/>
          <w:bCs/>
          <w:color w:val="auto"/>
          <w:kern w:val="2"/>
          <w:highlight w:val="none"/>
          <w:lang w:val="en-US" w:eastAsia="zh-CN"/>
        </w:rPr>
        <w:t>综合运用信用策略、久期策略、杠杆策略、曲线策略、交易策略等</w:t>
      </w:r>
      <w:r>
        <w:rPr>
          <w:rFonts w:hint="eastAsia" w:ascii="宋体" w:hAnsi="宋体" w:cs="宋体"/>
          <w:bCs/>
          <w:color w:val="auto"/>
          <w:kern w:val="2"/>
          <w:highlight w:val="none"/>
        </w:rPr>
        <w:t>。</w:t>
      </w:r>
    </w:p>
    <w:p>
      <w:pPr>
        <w:numPr>
          <w:ilvl w:val="0"/>
          <w:numId w:val="23"/>
        </w:numPr>
        <w:spacing w:line="360" w:lineRule="auto"/>
        <w:jc w:val="left"/>
        <w:rPr>
          <w:rFonts w:ascii="宋体" w:hAnsi="宋体" w:cs="宋体"/>
          <w:bCs/>
          <w:sz w:val="24"/>
          <w:highlight w:val="none"/>
        </w:rPr>
      </w:pPr>
      <w:r>
        <w:rPr>
          <w:rFonts w:hint="eastAsia" w:ascii="宋体" w:hAnsi="宋体" w:cs="宋体"/>
          <w:bCs/>
          <w:sz w:val="24"/>
          <w:highlight w:val="none"/>
        </w:rPr>
        <w:t>权益</w:t>
      </w:r>
      <w:r>
        <w:rPr>
          <w:rFonts w:hint="eastAsia" w:ascii="宋体" w:hAnsi="宋体" w:cs="宋体"/>
          <w:bCs/>
          <w:sz w:val="24"/>
          <w:highlight w:val="none"/>
          <w:lang w:val="en-US" w:eastAsia="zh-CN"/>
        </w:rPr>
        <w:t>类</w:t>
      </w:r>
      <w:r>
        <w:rPr>
          <w:rFonts w:hint="eastAsia" w:ascii="宋体" w:hAnsi="宋体" w:cs="宋体"/>
          <w:bCs/>
          <w:sz w:val="24"/>
          <w:highlight w:val="none"/>
        </w:rPr>
        <w:t>资产策略</w:t>
      </w:r>
    </w:p>
    <w:p>
      <w:pPr>
        <w:pStyle w:val="17"/>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sz w:val="24"/>
          <w:highlight w:val="none"/>
        </w:rPr>
        <w:t>管理人</w:t>
      </w:r>
      <w:r>
        <w:rPr>
          <w:rFonts w:hint="eastAsia" w:ascii="宋体" w:hAnsi="宋体" w:cs="宋体"/>
          <w:bCs/>
          <w:color w:val="auto"/>
          <w:kern w:val="2"/>
          <w:sz w:val="24"/>
          <w:highlight w:val="none"/>
          <w:u w:val="none"/>
          <w:lang w:val="en-US" w:eastAsia="zh-CN"/>
        </w:rPr>
        <w:t>结合产品流动性和市场情况，择机在组合中配置优先股权益类资产</w:t>
      </w:r>
      <w:r>
        <w:rPr>
          <w:rFonts w:hint="eastAsia" w:ascii="宋体" w:hAnsi="宋体" w:cs="宋体"/>
          <w:bCs/>
          <w:color w:val="auto"/>
          <w:kern w:val="2"/>
          <w:sz w:val="24"/>
          <w:highlight w:val="none"/>
        </w:rPr>
        <w:t>。</w:t>
      </w:r>
    </w:p>
    <w:p>
      <w:pPr>
        <w:numPr>
          <w:ilvl w:val="0"/>
          <w:numId w:val="20"/>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2"/>
        <w:rPr>
          <w:rFonts w:hint="eastAsia" w:ascii="宋体" w:hAnsi="宋体" w:cs="宋体"/>
          <w:b/>
          <w:sz w:val="24"/>
          <w:highlight w:val="none"/>
        </w:rPr>
      </w:pPr>
      <w:r>
        <w:rPr>
          <w:rFonts w:hint="eastAsia" w:ascii="宋体" w:hAnsi="宋体" w:cs="宋体"/>
          <w:b w:val="0"/>
          <w:bCs/>
          <w:sz w:val="24"/>
          <w:highlight w:val="none"/>
          <w:lang w:val="en-US" w:eastAsia="zh-CN"/>
        </w:rPr>
        <w:t>投资限制中列示的资产品种不代表管理人的实际投向，本理财计划投资范围以“投资范围”章节表述为准。</w:t>
      </w:r>
    </w:p>
    <w:p>
      <w:pPr>
        <w:numPr>
          <w:ilvl w:val="0"/>
          <w:numId w:val="24"/>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highlight w:val="none"/>
        </w:rPr>
        <w:t>管理人发行的全部开放式公募理财计划投资单一上市公司发行的股票,不得超过该上市公司可流通股票的15%。</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本理财计划的总资产不得超过净资产的140%。</w:t>
      </w:r>
    </w:p>
    <w:p>
      <w:pPr>
        <w:numPr>
          <w:ilvl w:val="0"/>
          <w:numId w:val="24"/>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流动性限制</w:t>
      </w:r>
    </w:p>
    <w:p>
      <w:pPr>
        <w:numPr>
          <w:ilvl w:val="0"/>
          <w:numId w:val="26"/>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lang w:val="en-US" w:eastAsia="zh-CN"/>
        </w:rPr>
        <w:t>本理财计划直接投资于流动性受限资产的市值在开放日不得超过该理财计划资产净值的15%。</w:t>
      </w:r>
    </w:p>
    <w:p>
      <w:pPr>
        <w:numPr>
          <w:ilvl w:val="0"/>
          <w:numId w:val="26"/>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本理财计划如定期开放周期不低于90天，应当在开放日及开放日前7个工作日内持有不低于该理财计划资产净值5%的现金或者到期日在一年以内的国债、中央银行票据和政策性金融债券；如定期开放周期低于90天，</w:t>
      </w:r>
      <w:r>
        <w:rPr>
          <w:rFonts w:hint="eastAsia" w:ascii="宋体" w:hAnsi="宋体" w:cs="宋体"/>
          <w:bCs/>
          <w:sz w:val="24"/>
          <w:highlight w:val="none"/>
        </w:rPr>
        <w:t>应当持有不低于该理财产品资产净值5%的现金或者到期日在一年以内的国债、中央银行票据和政策性金融债券。</w:t>
      </w:r>
    </w:p>
    <w:p>
      <w:pPr>
        <w:numPr>
          <w:ilvl w:val="0"/>
          <w:numId w:val="26"/>
        </w:numPr>
        <w:spacing w:line="360" w:lineRule="auto"/>
        <w:ind w:firstLine="480" w:firstLineChars="200"/>
        <w:jc w:val="left"/>
        <w:rPr>
          <w:rFonts w:hint="default" w:ascii="宋体" w:hAnsi="宋体" w:cs="宋体"/>
          <w:bCs/>
          <w:sz w:val="24"/>
          <w:highlight w:val="none"/>
          <w:lang w:val="en-US" w:eastAsia="zh-CN"/>
        </w:rPr>
      </w:pPr>
      <w:r>
        <w:rPr>
          <w:rFonts w:hint="eastAsia" w:ascii="宋体" w:hAnsi="宋体" w:cs="宋体"/>
          <w:bCs/>
          <w:sz w:val="24"/>
          <w:highlight w:val="none"/>
          <w:lang w:val="en-US" w:eastAsia="zh-CN"/>
        </w:rPr>
        <w:t>在开放日前一工作日内，本理财计划7个工作日可变现资产的可变现价值应当不低于该理财计划资产净值的10%。</w:t>
      </w:r>
    </w:p>
    <w:p>
      <w:pPr>
        <w:numPr>
          <w:ilvl w:val="0"/>
          <w:numId w:val="26"/>
        </w:numPr>
        <w:spacing w:line="360" w:lineRule="auto"/>
        <w:ind w:firstLine="480" w:firstLineChars="200"/>
        <w:jc w:val="left"/>
        <w:rPr>
          <w:rFonts w:hint="default" w:ascii="宋体" w:hAnsi="宋体" w:cs="宋体"/>
          <w:bCs/>
          <w:sz w:val="24"/>
          <w:highlight w:val="none"/>
          <w:lang w:val="en-US" w:eastAsia="zh-CN"/>
        </w:rPr>
      </w:pPr>
      <w:r>
        <w:rPr>
          <w:rFonts w:hint="eastAsia" w:ascii="宋体" w:hAnsi="宋体" w:cs="宋体"/>
          <w:bCs/>
          <w:sz w:val="24"/>
          <w:highlight w:val="none"/>
          <w:lang w:val="en-US" w:eastAsia="zh-CN"/>
        </w:rPr>
        <w:t>本理财计划如定期开放周期低于90天，计划投资不存在活跃交易市场，并且需要采用估值技术确定公允价值的资产比例不得超过理财产品净资产50%以上。</w:t>
      </w:r>
    </w:p>
    <w:p>
      <w:pPr>
        <w:numPr>
          <w:ilvl w:val="0"/>
          <w:numId w:val="24"/>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ind w:left="0" w:leftChars="0" w:firstLine="482" w:firstLineChars="200"/>
        <w:jc w:val="left"/>
        <w:outlineLvl w:val="2"/>
        <w:rPr>
          <w:rFonts w:hint="eastAsia" w:ascii="宋体" w:hAnsi="宋体" w:cs="宋体"/>
          <w:b/>
          <w:bCs w:val="0"/>
          <w:sz w:val="24"/>
          <w:highlight w:val="none"/>
        </w:rPr>
      </w:pPr>
      <w:r>
        <w:rPr>
          <w:rFonts w:hint="eastAsia" w:ascii="宋体" w:hAnsi="宋体" w:cs="宋体"/>
          <w:b/>
          <w:bCs w:val="0"/>
          <w:sz w:val="24"/>
          <w:highlight w:val="none"/>
          <w:lang w:eastAsia="zh-CN"/>
        </w:rPr>
        <w:t>拟投资市场、资产的流动性风险评估</w:t>
      </w:r>
    </w:p>
    <w:p>
      <w:pPr>
        <w:numPr>
          <w:ilvl w:val="0"/>
          <w:numId w:val="0"/>
        </w:numPr>
        <w:spacing w:line="360" w:lineRule="auto"/>
        <w:ind w:firstLine="480" w:firstLineChars="20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7"/>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资产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7"/>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7"/>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lang w:val="en-US" w:eastAsia="zh-CN"/>
        </w:rPr>
        <w:t>投资于权益类资产的可能流动性风险（如有）：权益类资产包括但不限于上市公司普通股、上市公司优先股、股票基金、股票定向增发等，受国家政策、经济周期、利率、汇率、股票发行人经营情况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p>
    <w:p>
      <w:pPr>
        <w:numPr>
          <w:ilvl w:val="0"/>
          <w:numId w:val="28"/>
        </w:numPr>
        <w:spacing w:line="360" w:lineRule="auto"/>
        <w:ind w:firstLine="482" w:firstLineChars="200"/>
        <w:jc w:val="left"/>
        <w:outlineLvl w:val="1"/>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9"/>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托管人</w:t>
      </w:r>
    </w:p>
    <w:tbl>
      <w:tblPr>
        <w:tblStyle w:val="11"/>
        <w:tblW w:w="781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6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rPr>
              <w:t>托管人名称</w:t>
            </w:r>
          </w:p>
        </w:tc>
        <w:tc>
          <w:tcPr>
            <w:tcW w:w="6070" w:type="dxa"/>
            <w:noWrap w:val="0"/>
            <w:vAlign w:val="top"/>
          </w:tcPr>
          <w:p>
            <w:pPr>
              <w:spacing w:line="360" w:lineRule="auto"/>
              <w:jc w:val="left"/>
              <w:rPr>
                <w:rFonts w:ascii="宋体" w:hAnsi="宋体" w:cs="宋体"/>
                <w:bCs/>
                <w:szCs w:val="21"/>
                <w:highlight w:val="none"/>
              </w:rPr>
            </w:pPr>
            <w:r>
              <w:rPr>
                <w:rFonts w:hint="eastAsia" w:ascii="宋体" w:hAnsi="宋体" w:cs="宋体"/>
                <w:bCs/>
                <w:szCs w:val="21"/>
                <w:highlight w:val="none"/>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rPr>
              <w:t>托管人住所</w:t>
            </w:r>
          </w:p>
        </w:tc>
        <w:tc>
          <w:tcPr>
            <w:tcW w:w="6070" w:type="dxa"/>
            <w:noWrap w:val="0"/>
            <w:vAlign w:val="top"/>
          </w:tcPr>
          <w:p>
            <w:pPr>
              <w:spacing w:line="360" w:lineRule="auto"/>
              <w:jc w:val="left"/>
              <w:rPr>
                <w:rFonts w:hint="eastAsia" w:ascii="宋体" w:hAnsi="宋体" w:eastAsia="宋体" w:cs="宋体"/>
                <w:bCs/>
                <w:szCs w:val="21"/>
                <w:highlight w:val="none"/>
                <w:lang w:eastAsia="zh-CN"/>
              </w:rPr>
            </w:pPr>
            <w:r>
              <w:rPr>
                <w:rFonts w:hint="eastAsia" w:ascii="宋体" w:hAnsi="宋体" w:cs="宋体"/>
                <w:bCs/>
                <w:szCs w:val="21"/>
                <w:highlight w:val="none"/>
                <w:lang w:eastAsia="zh-CN"/>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rPr>
              <w:t>托管人职责</w:t>
            </w:r>
          </w:p>
        </w:tc>
        <w:tc>
          <w:tcPr>
            <w:tcW w:w="6070" w:type="dxa"/>
            <w:noWrap w:val="0"/>
            <w:vAlign w:val="top"/>
          </w:tcPr>
          <w:p>
            <w:pPr>
              <w:spacing w:line="360" w:lineRule="auto"/>
              <w:jc w:val="left"/>
              <w:rPr>
                <w:rFonts w:hint="eastAsia" w:ascii="宋体" w:hAnsi="宋体" w:cs="宋体"/>
                <w:bCs/>
                <w:szCs w:val="21"/>
                <w:highlight w:val="none"/>
              </w:rPr>
            </w:pPr>
            <w:r>
              <w:rPr>
                <w:rFonts w:hint="eastAsia" w:ascii="宋体" w:hAnsi="宋体" w:cs="宋体"/>
                <w:bCs/>
                <w:szCs w:val="21"/>
                <w:highlight w:val="none"/>
              </w:rPr>
              <w:t>主要提供包括账户开立、资金保管、资金结算、估值核对等理财产品托管服务。</w:t>
            </w:r>
          </w:p>
        </w:tc>
      </w:tr>
    </w:tbl>
    <w:p>
      <w:pPr>
        <w:numPr>
          <w:ilvl w:val="0"/>
          <w:numId w:val="30"/>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销售机构</w:t>
      </w:r>
    </w:p>
    <w:tbl>
      <w:tblPr>
        <w:tblStyle w:val="11"/>
        <w:tblW w:w="7802"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2618"/>
        <w:gridCol w:w="1180"/>
        <w:gridCol w:w="3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 w:type="dxa"/>
            <w:vMerge w:val="restart"/>
            <w:noWrap w:val="0"/>
            <w:vAlign w:val="center"/>
          </w:tcPr>
          <w:p>
            <w:pPr>
              <w:spacing w:line="360" w:lineRule="auto"/>
              <w:jc w:val="center"/>
              <w:rPr>
                <w:rFonts w:hint="eastAsia" w:ascii="宋体" w:hAnsi="宋体" w:cs="宋体"/>
                <w:bCs/>
                <w:szCs w:val="21"/>
                <w:highlight w:val="none"/>
              </w:rPr>
            </w:pPr>
          </w:p>
          <w:p>
            <w:pPr>
              <w:spacing w:line="360" w:lineRule="auto"/>
              <w:jc w:val="center"/>
              <w:rPr>
                <w:rFonts w:ascii="宋体" w:hAnsi="宋体" w:cs="宋体"/>
                <w:bCs/>
                <w:szCs w:val="21"/>
                <w:highlight w:val="none"/>
              </w:rPr>
            </w:pPr>
            <w:r>
              <w:rPr>
                <w:rFonts w:hint="eastAsia" w:ascii="宋体" w:hAnsi="宋体" w:cs="宋体"/>
                <w:bCs/>
                <w:szCs w:val="21"/>
                <w:highlight w:val="none"/>
              </w:rPr>
              <w:t>销售机构信息</w:t>
            </w:r>
          </w:p>
        </w:tc>
        <w:tc>
          <w:tcPr>
            <w:tcW w:w="2618" w:type="dxa"/>
            <w:vMerge w:val="restart"/>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rPr>
              <w:t>杭州银行股份有限公司</w:t>
            </w:r>
          </w:p>
        </w:tc>
        <w:tc>
          <w:tcPr>
            <w:tcW w:w="1180" w:type="dxa"/>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rPr>
              <w:t>住所</w:t>
            </w:r>
          </w:p>
        </w:tc>
        <w:tc>
          <w:tcPr>
            <w:tcW w:w="3042" w:type="dxa"/>
            <w:noWrap w:val="0"/>
            <w:vAlign w:val="center"/>
          </w:tcPr>
          <w:p>
            <w:pPr>
              <w:spacing w:line="360" w:lineRule="auto"/>
              <w:jc w:val="center"/>
              <w:rPr>
                <w:rFonts w:hint="eastAsia" w:ascii="宋体" w:hAnsi="宋体" w:eastAsia="宋体" w:cs="宋体"/>
                <w:bCs/>
                <w:szCs w:val="21"/>
                <w:highlight w:val="none"/>
                <w:lang w:eastAsia="zh-CN"/>
              </w:rPr>
            </w:pPr>
            <w:r>
              <w:rPr>
                <w:rFonts w:hint="eastAsia" w:ascii="宋体" w:hAnsi="宋体" w:cs="宋体"/>
                <w:bCs/>
                <w:szCs w:val="21"/>
                <w:highlight w:val="none"/>
                <w:lang w:eastAsia="zh-CN"/>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 w:type="dxa"/>
            <w:vMerge w:val="continue"/>
            <w:noWrap w:val="0"/>
            <w:vAlign w:val="top"/>
          </w:tcPr>
          <w:p>
            <w:pPr>
              <w:spacing w:line="360" w:lineRule="auto"/>
              <w:jc w:val="left"/>
              <w:rPr>
                <w:rFonts w:hint="eastAsia" w:ascii="宋体" w:hAnsi="宋体" w:cs="宋体"/>
                <w:bCs/>
                <w:szCs w:val="21"/>
                <w:highlight w:val="none"/>
              </w:rPr>
            </w:pPr>
          </w:p>
        </w:tc>
        <w:tc>
          <w:tcPr>
            <w:tcW w:w="2618" w:type="dxa"/>
            <w:vMerge w:val="continue"/>
            <w:noWrap w:val="0"/>
            <w:vAlign w:val="center"/>
          </w:tcPr>
          <w:p>
            <w:pPr>
              <w:spacing w:line="360" w:lineRule="auto"/>
              <w:jc w:val="center"/>
              <w:rPr>
                <w:rFonts w:hint="eastAsia" w:ascii="宋体" w:hAnsi="宋体" w:cs="宋体"/>
                <w:bCs/>
                <w:szCs w:val="21"/>
                <w:highlight w:val="none"/>
              </w:rPr>
            </w:pPr>
          </w:p>
        </w:tc>
        <w:tc>
          <w:tcPr>
            <w:tcW w:w="1180" w:type="dxa"/>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rPr>
              <w:t>客服热线</w:t>
            </w:r>
          </w:p>
        </w:tc>
        <w:tc>
          <w:tcPr>
            <w:tcW w:w="3042" w:type="dxa"/>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rPr>
              <w:t>95398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 w:type="dxa"/>
            <w:vMerge w:val="continue"/>
            <w:noWrap w:val="0"/>
            <w:vAlign w:val="top"/>
          </w:tcPr>
          <w:p>
            <w:pPr>
              <w:spacing w:line="360" w:lineRule="auto"/>
              <w:jc w:val="left"/>
              <w:rPr>
                <w:rFonts w:hint="eastAsia" w:ascii="宋体" w:hAnsi="宋体" w:cs="宋体"/>
                <w:bCs/>
                <w:szCs w:val="21"/>
                <w:highlight w:val="none"/>
              </w:rPr>
            </w:pPr>
          </w:p>
        </w:tc>
        <w:tc>
          <w:tcPr>
            <w:tcW w:w="2618" w:type="dxa"/>
            <w:vMerge w:val="restart"/>
            <w:noWrap w:val="0"/>
            <w:vAlign w:val="center"/>
          </w:tcPr>
          <w:p>
            <w:pPr>
              <w:widowControl/>
              <w:jc w:val="center"/>
              <w:rPr>
                <w:rFonts w:hint="eastAsia" w:ascii="宋体" w:hAnsi="宋体" w:eastAsia="宋体" w:cs="宋体"/>
                <w:bCs/>
                <w:i w:val="0"/>
                <w:color w:val="auto"/>
                <w:kern w:val="2"/>
                <w:sz w:val="24"/>
                <w:szCs w:val="24"/>
                <w:highlight w:val="none"/>
                <w:u w:val="none"/>
                <w:lang w:val="en-US" w:eastAsia="zh-CN" w:bidi="ar"/>
              </w:rPr>
            </w:pPr>
            <w:r>
              <w:rPr>
                <w:rFonts w:ascii="宋体" w:hAnsi="宋体" w:cs="宋体"/>
                <w:bCs/>
                <w:szCs w:val="21"/>
              </w:rPr>
              <w:t>兰州银行股份有限公司</w:t>
            </w:r>
          </w:p>
        </w:tc>
        <w:tc>
          <w:tcPr>
            <w:tcW w:w="1180" w:type="dxa"/>
            <w:noWrap w:val="0"/>
            <w:vAlign w:val="center"/>
          </w:tcPr>
          <w:p>
            <w:pPr>
              <w:widowControl/>
              <w:jc w:val="center"/>
              <w:rPr>
                <w:rFonts w:hint="eastAsia" w:ascii="宋体" w:hAnsi="宋体" w:eastAsia="宋体" w:cs="宋体"/>
                <w:bCs/>
                <w:i w:val="0"/>
                <w:color w:val="auto"/>
                <w:kern w:val="2"/>
                <w:sz w:val="24"/>
                <w:szCs w:val="24"/>
                <w:highlight w:val="none"/>
                <w:u w:val="none"/>
                <w:lang w:val="en-US" w:eastAsia="zh-CN" w:bidi="ar"/>
              </w:rPr>
            </w:pPr>
            <w:r>
              <w:rPr>
                <w:rFonts w:hint="eastAsia" w:ascii="宋体" w:hAnsi="宋体" w:cs="宋体"/>
                <w:color w:val="000000"/>
                <w:kern w:val="0"/>
              </w:rPr>
              <w:t>住所</w:t>
            </w:r>
          </w:p>
        </w:tc>
        <w:tc>
          <w:tcPr>
            <w:tcW w:w="3042" w:type="dxa"/>
            <w:noWrap w:val="0"/>
            <w:vAlign w:val="center"/>
          </w:tcPr>
          <w:p>
            <w:pPr>
              <w:widowControl/>
              <w:jc w:val="center"/>
              <w:rPr>
                <w:rFonts w:hint="eastAsia" w:ascii="宋体" w:hAnsi="宋体" w:eastAsia="宋体" w:cs="宋体"/>
                <w:bCs/>
                <w:i w:val="0"/>
                <w:color w:val="auto"/>
                <w:kern w:val="2"/>
                <w:sz w:val="24"/>
                <w:szCs w:val="24"/>
                <w:highlight w:val="none"/>
                <w:u w:val="none"/>
                <w:lang w:val="en-US" w:eastAsia="zh-CN" w:bidi="ar"/>
              </w:rPr>
            </w:pPr>
            <w:r>
              <w:rPr>
                <w:rFonts w:hint="eastAsia" w:ascii="宋体" w:hAnsi="宋体" w:cs="宋体"/>
                <w:bCs/>
                <w:szCs w:val="21"/>
              </w:rPr>
              <w:t>甘肃省兰州市酒泉路211号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 w:type="dxa"/>
            <w:vMerge w:val="continue"/>
            <w:noWrap w:val="0"/>
            <w:vAlign w:val="top"/>
          </w:tcPr>
          <w:p>
            <w:pPr>
              <w:spacing w:line="360" w:lineRule="auto"/>
              <w:jc w:val="left"/>
              <w:rPr>
                <w:rFonts w:hint="eastAsia" w:ascii="宋体" w:hAnsi="宋体" w:cs="宋体"/>
                <w:bCs/>
                <w:szCs w:val="21"/>
                <w:highlight w:val="none"/>
              </w:rPr>
            </w:pPr>
          </w:p>
        </w:tc>
        <w:tc>
          <w:tcPr>
            <w:tcW w:w="2618" w:type="dxa"/>
            <w:vMerge w:val="continue"/>
            <w:noWrap w:val="0"/>
            <w:vAlign w:val="center"/>
          </w:tcPr>
          <w:p>
            <w:pPr>
              <w:widowControl/>
              <w:jc w:val="left"/>
              <w:rPr>
                <w:rFonts w:hint="eastAsia" w:ascii="宋体" w:hAnsi="宋体" w:eastAsia="宋体" w:cs="宋体"/>
                <w:bCs/>
                <w:i w:val="0"/>
                <w:color w:val="auto"/>
                <w:kern w:val="2"/>
                <w:sz w:val="24"/>
                <w:szCs w:val="24"/>
                <w:highlight w:val="none"/>
                <w:u w:val="none"/>
                <w:lang w:val="en-US" w:eastAsia="zh-CN" w:bidi="ar"/>
              </w:rPr>
            </w:pPr>
          </w:p>
        </w:tc>
        <w:tc>
          <w:tcPr>
            <w:tcW w:w="1180" w:type="dxa"/>
            <w:noWrap w:val="0"/>
            <w:vAlign w:val="center"/>
          </w:tcPr>
          <w:p>
            <w:pPr>
              <w:widowControl/>
              <w:jc w:val="center"/>
              <w:rPr>
                <w:rFonts w:hint="eastAsia" w:ascii="宋体" w:hAnsi="宋体" w:eastAsia="宋体" w:cs="宋体"/>
                <w:bCs/>
                <w:i w:val="0"/>
                <w:color w:val="auto"/>
                <w:kern w:val="2"/>
                <w:sz w:val="24"/>
                <w:szCs w:val="24"/>
                <w:highlight w:val="none"/>
                <w:u w:val="none"/>
                <w:lang w:val="en-US" w:eastAsia="zh-CN" w:bidi="ar"/>
              </w:rPr>
            </w:pPr>
            <w:r>
              <w:rPr>
                <w:rFonts w:hint="eastAsia" w:ascii="宋体" w:hAnsi="宋体" w:cs="宋体"/>
                <w:color w:val="000000"/>
                <w:kern w:val="0"/>
              </w:rPr>
              <w:t>客服热线</w:t>
            </w:r>
          </w:p>
        </w:tc>
        <w:tc>
          <w:tcPr>
            <w:tcW w:w="3042" w:type="dxa"/>
            <w:noWrap w:val="0"/>
            <w:vAlign w:val="center"/>
          </w:tcPr>
          <w:p>
            <w:pPr>
              <w:widowControl/>
              <w:jc w:val="center"/>
              <w:rPr>
                <w:rFonts w:hint="eastAsia" w:ascii="宋体" w:hAnsi="宋体" w:eastAsia="宋体" w:cs="宋体"/>
                <w:bCs/>
                <w:i w:val="0"/>
                <w:color w:val="auto"/>
                <w:kern w:val="2"/>
                <w:sz w:val="24"/>
                <w:szCs w:val="24"/>
                <w:highlight w:val="none"/>
                <w:u w:val="none"/>
                <w:lang w:val="en-US" w:eastAsia="zh-CN" w:bidi="ar"/>
              </w:rPr>
            </w:pPr>
            <w:r>
              <w:rPr>
                <w:rFonts w:hint="eastAsia" w:ascii="宋体" w:hAnsi="宋体" w:cs="宋体"/>
                <w:bCs/>
                <w:szCs w:val="21"/>
              </w:rPr>
              <w:t>4008896799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 w:type="dxa"/>
            <w:vMerge w:val="continue"/>
            <w:noWrap w:val="0"/>
            <w:vAlign w:val="top"/>
          </w:tcPr>
          <w:p>
            <w:pPr>
              <w:spacing w:line="360" w:lineRule="auto"/>
              <w:jc w:val="left"/>
              <w:rPr>
                <w:rFonts w:hint="eastAsia" w:ascii="宋体" w:hAnsi="宋体" w:cs="宋体"/>
                <w:bCs/>
                <w:szCs w:val="21"/>
                <w:highlight w:val="none"/>
              </w:rPr>
            </w:pPr>
          </w:p>
        </w:tc>
        <w:tc>
          <w:tcPr>
            <w:tcW w:w="2618" w:type="dxa"/>
            <w:vMerge w:val="restart"/>
            <w:noWrap w:val="0"/>
            <w:vAlign w:val="center"/>
          </w:tcPr>
          <w:p>
            <w:pPr>
              <w:keepNext w:val="0"/>
              <w:keepLines w:val="0"/>
              <w:widowControl/>
              <w:suppressLineNumbers w:val="0"/>
              <w:spacing w:line="360" w:lineRule="auto"/>
              <w:jc w:val="center"/>
              <w:textAlignment w:val="auto"/>
              <w:rPr>
                <w:rFonts w:hint="eastAsia" w:ascii="宋体" w:hAnsi="宋体" w:eastAsia="宋体" w:cs="宋体"/>
                <w:bCs/>
                <w:szCs w:val="24"/>
                <w:highlight w:val="none"/>
                <w:lang w:val="en-US" w:eastAsia="zh-CN"/>
              </w:rPr>
            </w:pPr>
            <w:r>
              <w:rPr>
                <w:rFonts w:hint="eastAsia" w:ascii="宋体" w:hAnsi="宋体" w:eastAsia="宋体" w:cs="宋体"/>
                <w:bCs/>
                <w:i w:val="0"/>
                <w:color w:val="auto"/>
                <w:kern w:val="2"/>
                <w:sz w:val="24"/>
                <w:szCs w:val="24"/>
                <w:highlight w:val="none"/>
                <w:u w:val="none"/>
                <w:lang w:val="en-US" w:eastAsia="zh-CN" w:bidi="ar"/>
              </w:rPr>
              <w:t>杭银理财有限责任公司</w:t>
            </w:r>
          </w:p>
        </w:tc>
        <w:tc>
          <w:tcPr>
            <w:tcW w:w="1180" w:type="dxa"/>
            <w:noWrap w:val="0"/>
            <w:vAlign w:val="center"/>
          </w:tcPr>
          <w:p>
            <w:pPr>
              <w:keepNext w:val="0"/>
              <w:keepLines w:val="0"/>
              <w:widowControl/>
              <w:suppressLineNumbers w:val="0"/>
              <w:spacing w:line="360" w:lineRule="auto"/>
              <w:jc w:val="center"/>
              <w:textAlignment w:val="auto"/>
              <w:rPr>
                <w:rFonts w:hint="eastAsia" w:ascii="宋体" w:hAnsi="宋体" w:cs="宋体"/>
                <w:bCs/>
                <w:szCs w:val="24"/>
                <w:highlight w:val="none"/>
              </w:rPr>
            </w:pPr>
            <w:r>
              <w:rPr>
                <w:rFonts w:hint="eastAsia" w:ascii="宋体" w:hAnsi="宋体" w:eastAsia="宋体" w:cs="宋体"/>
                <w:bCs/>
                <w:i w:val="0"/>
                <w:color w:val="auto"/>
                <w:kern w:val="2"/>
                <w:sz w:val="24"/>
                <w:szCs w:val="24"/>
                <w:highlight w:val="none"/>
                <w:u w:val="none"/>
                <w:lang w:val="en-US" w:eastAsia="zh-CN" w:bidi="ar"/>
              </w:rPr>
              <w:t>住所</w:t>
            </w:r>
          </w:p>
        </w:tc>
        <w:tc>
          <w:tcPr>
            <w:tcW w:w="3042" w:type="dxa"/>
            <w:noWrap w:val="0"/>
            <w:vAlign w:val="center"/>
          </w:tcPr>
          <w:p>
            <w:pPr>
              <w:keepNext w:val="0"/>
              <w:keepLines w:val="0"/>
              <w:widowControl/>
              <w:suppressLineNumbers w:val="0"/>
              <w:spacing w:line="360" w:lineRule="auto"/>
              <w:jc w:val="center"/>
              <w:textAlignment w:val="auto"/>
              <w:rPr>
                <w:rFonts w:hint="eastAsia" w:ascii="宋体" w:hAnsi="宋体" w:cs="宋体"/>
                <w:bCs/>
                <w:szCs w:val="24"/>
                <w:highlight w:val="none"/>
              </w:rPr>
            </w:pPr>
            <w:r>
              <w:rPr>
                <w:rFonts w:hint="eastAsia" w:ascii="宋体" w:hAnsi="宋体" w:eastAsia="宋体" w:cs="宋体"/>
                <w:bCs/>
                <w:i w:val="0"/>
                <w:color w:val="auto"/>
                <w:kern w:val="2"/>
                <w:sz w:val="24"/>
                <w:szCs w:val="24"/>
                <w:highlight w:val="none"/>
                <w:u w:val="none"/>
                <w:lang w:val="en-US" w:eastAsia="zh-CN" w:bidi="ar"/>
              </w:rPr>
              <w:t>浙江省杭州市拱墅区庆春路38号金龙财富中心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 w:type="dxa"/>
            <w:vMerge w:val="continue"/>
            <w:noWrap w:val="0"/>
            <w:vAlign w:val="top"/>
          </w:tcPr>
          <w:p>
            <w:pPr>
              <w:spacing w:line="360" w:lineRule="auto"/>
              <w:jc w:val="left"/>
              <w:rPr>
                <w:rFonts w:hint="eastAsia" w:ascii="宋体" w:hAnsi="宋体" w:cs="宋体"/>
                <w:bCs/>
                <w:szCs w:val="21"/>
                <w:highlight w:val="none"/>
              </w:rPr>
            </w:pPr>
          </w:p>
        </w:tc>
        <w:tc>
          <w:tcPr>
            <w:tcW w:w="2618" w:type="dxa"/>
            <w:vMerge w:val="continue"/>
            <w:noWrap w:val="0"/>
            <w:vAlign w:val="center"/>
          </w:tcPr>
          <w:p>
            <w:pPr>
              <w:spacing w:line="360" w:lineRule="auto"/>
              <w:jc w:val="center"/>
              <w:rPr>
                <w:rFonts w:hint="eastAsia" w:ascii="宋体" w:hAnsi="宋体" w:cs="宋体"/>
                <w:bCs/>
                <w:szCs w:val="24"/>
                <w:highlight w:val="none"/>
              </w:rPr>
            </w:pPr>
          </w:p>
        </w:tc>
        <w:tc>
          <w:tcPr>
            <w:tcW w:w="1180" w:type="dxa"/>
            <w:noWrap w:val="0"/>
            <w:vAlign w:val="center"/>
          </w:tcPr>
          <w:p>
            <w:pPr>
              <w:keepNext w:val="0"/>
              <w:keepLines w:val="0"/>
              <w:widowControl/>
              <w:suppressLineNumbers w:val="0"/>
              <w:spacing w:line="360" w:lineRule="auto"/>
              <w:jc w:val="center"/>
              <w:textAlignment w:val="auto"/>
              <w:rPr>
                <w:rFonts w:hint="eastAsia" w:ascii="宋体" w:hAnsi="宋体" w:cs="宋体"/>
                <w:bCs/>
                <w:szCs w:val="24"/>
                <w:highlight w:val="none"/>
              </w:rPr>
            </w:pPr>
            <w:r>
              <w:rPr>
                <w:rFonts w:hint="eastAsia" w:ascii="宋体" w:hAnsi="宋体" w:eastAsia="宋体" w:cs="宋体"/>
                <w:bCs/>
                <w:i w:val="0"/>
                <w:color w:val="auto"/>
                <w:kern w:val="2"/>
                <w:sz w:val="24"/>
                <w:szCs w:val="24"/>
                <w:highlight w:val="none"/>
                <w:u w:val="none"/>
                <w:lang w:val="en-US" w:eastAsia="zh-CN" w:bidi="ar"/>
              </w:rPr>
              <w:t>客服热线</w:t>
            </w:r>
          </w:p>
        </w:tc>
        <w:tc>
          <w:tcPr>
            <w:tcW w:w="3042" w:type="dxa"/>
            <w:noWrap w:val="0"/>
            <w:vAlign w:val="center"/>
          </w:tcPr>
          <w:p>
            <w:pPr>
              <w:keepNext w:val="0"/>
              <w:keepLines w:val="0"/>
              <w:widowControl/>
              <w:suppressLineNumbers w:val="0"/>
              <w:spacing w:line="360" w:lineRule="auto"/>
              <w:jc w:val="center"/>
              <w:textAlignment w:val="auto"/>
              <w:rPr>
                <w:rFonts w:hint="eastAsia" w:ascii="宋体" w:hAnsi="宋体" w:cs="宋体"/>
                <w:bCs/>
                <w:szCs w:val="24"/>
                <w:highlight w:val="none"/>
              </w:rPr>
            </w:pPr>
            <w:r>
              <w:rPr>
                <w:rFonts w:hint="eastAsia" w:ascii="宋体" w:hAnsi="宋体" w:eastAsia="宋体" w:cs="宋体"/>
                <w:bCs/>
                <w:i w:val="0"/>
                <w:color w:val="auto"/>
                <w:kern w:val="2"/>
                <w:sz w:val="24"/>
                <w:szCs w:val="24"/>
                <w:highlight w:val="none"/>
                <w:u w:val="none"/>
                <w:lang w:val="en-US" w:eastAsia="zh-CN" w:bidi="ar"/>
              </w:rPr>
              <w:t>400-8950-999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 w:type="dxa"/>
            <w:noWrap w:val="0"/>
            <w:vAlign w:val="center"/>
          </w:tcPr>
          <w:p>
            <w:pPr>
              <w:spacing w:line="360" w:lineRule="auto"/>
              <w:jc w:val="center"/>
              <w:rPr>
                <w:rFonts w:ascii="宋体" w:hAnsi="宋体" w:cs="宋体"/>
                <w:bCs/>
                <w:szCs w:val="21"/>
                <w:highlight w:val="none"/>
              </w:rPr>
            </w:pPr>
            <w:r>
              <w:rPr>
                <w:rFonts w:hint="eastAsia" w:ascii="宋体" w:hAnsi="宋体" w:cs="宋体"/>
                <w:bCs/>
                <w:szCs w:val="21"/>
                <w:highlight w:val="none"/>
              </w:rPr>
              <w:t>销售机构职责</w:t>
            </w:r>
          </w:p>
        </w:tc>
        <w:tc>
          <w:tcPr>
            <w:tcW w:w="6840" w:type="dxa"/>
            <w:gridSpan w:val="3"/>
            <w:noWrap w:val="0"/>
            <w:vAlign w:val="top"/>
          </w:tcPr>
          <w:p>
            <w:pPr>
              <w:spacing w:line="360" w:lineRule="auto"/>
              <w:jc w:val="left"/>
              <w:rPr>
                <w:rFonts w:hint="eastAsia" w:ascii="宋体" w:hAnsi="宋体" w:cs="宋体"/>
                <w:bCs/>
                <w:szCs w:val="21"/>
                <w:highlight w:val="none"/>
              </w:rPr>
            </w:pPr>
            <w:r>
              <w:rPr>
                <w:rFonts w:hint="eastAsia" w:ascii="宋体" w:hAnsi="宋体" w:cs="宋体"/>
                <w:bCs/>
                <w:szCs w:val="21"/>
                <w:highlight w:val="none"/>
              </w:rPr>
              <w:t>主要负责理财计划推广、投资者风险承受能力评估、投资者适当性管理、理财计划份额认购、申购及赎回办理。</w:t>
            </w:r>
          </w:p>
          <w:p>
            <w:pPr>
              <w:spacing w:line="360" w:lineRule="auto"/>
              <w:jc w:val="left"/>
              <w:rPr>
                <w:rFonts w:ascii="宋体" w:hAnsi="宋体" w:cs="宋体"/>
                <w:bCs/>
                <w:szCs w:val="21"/>
                <w:highlight w:val="none"/>
              </w:rPr>
            </w:pPr>
            <w:r>
              <w:rPr>
                <w:rFonts w:hint="eastAsia" w:ascii="宋体" w:hAnsi="宋体" w:cs="宋体"/>
                <w:bCs/>
                <w:szCs w:val="21"/>
                <w:highlight w:val="none"/>
              </w:rPr>
              <w:t>协助管理人负责与投资者签订理财计划合同、与投资者沟通及进行信息披露、接受投资者咨询和维护等销售服务。</w:t>
            </w:r>
          </w:p>
        </w:tc>
      </w:tr>
    </w:tbl>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在本理财计划发行后</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lang w:val="en-US" w:eastAsia="zh-CN"/>
        </w:rPr>
        <w:t>如</w:t>
      </w:r>
      <w:r>
        <w:rPr>
          <w:rFonts w:hint="eastAsia" w:ascii="宋体" w:hAnsi="宋体" w:cs="宋体"/>
          <w:bCs/>
          <w:color w:val="000000"/>
          <w:sz w:val="24"/>
          <w:highlight w:val="none"/>
        </w:rPr>
        <w:t>新增</w:t>
      </w:r>
      <w:r>
        <w:rPr>
          <w:rFonts w:hint="eastAsia" w:ascii="宋体" w:hAnsi="宋体" w:cs="宋体"/>
          <w:bCs/>
          <w:color w:val="000000"/>
          <w:sz w:val="24"/>
          <w:highlight w:val="none"/>
          <w:lang w:val="en-US" w:eastAsia="zh-CN"/>
        </w:rPr>
        <w:t>/减少</w:t>
      </w:r>
      <w:r>
        <w:rPr>
          <w:rFonts w:hint="eastAsia" w:ascii="宋体" w:hAnsi="宋体" w:cs="宋体"/>
          <w:bCs/>
          <w:color w:val="000000"/>
          <w:sz w:val="24"/>
          <w:highlight w:val="none"/>
        </w:rPr>
        <w:t>销售机构</w:t>
      </w:r>
      <w:r>
        <w:rPr>
          <w:rFonts w:hint="eastAsia" w:ascii="宋体" w:hAnsi="宋体" w:cs="宋体"/>
          <w:bCs/>
          <w:color w:val="000000"/>
          <w:sz w:val="24"/>
          <w:highlight w:val="none"/>
          <w:lang w:val="en-US" w:eastAsia="zh-CN"/>
        </w:rPr>
        <w:t>或销售机构信息变更，请</w:t>
      </w:r>
      <w:r>
        <w:rPr>
          <w:rFonts w:hint="eastAsia" w:ascii="宋体" w:hAnsi="宋体" w:cs="宋体"/>
          <w:bCs/>
          <w:color w:val="000000"/>
          <w:sz w:val="24"/>
          <w:highlight w:val="none"/>
        </w:rPr>
        <w:t>以管理人</w:t>
      </w:r>
      <w:r>
        <w:rPr>
          <w:rFonts w:hint="eastAsia" w:ascii="宋体" w:hAnsi="宋体" w:cs="宋体"/>
          <w:bCs/>
          <w:color w:val="000000"/>
          <w:sz w:val="24"/>
          <w:highlight w:val="none"/>
          <w:lang w:val="en-US" w:eastAsia="zh-CN"/>
        </w:rPr>
        <w:t>最新</w:t>
      </w:r>
      <w:r>
        <w:rPr>
          <w:rFonts w:hint="eastAsia" w:ascii="宋体" w:hAnsi="宋体" w:cs="宋体"/>
          <w:bCs/>
          <w:color w:val="000000"/>
          <w:sz w:val="24"/>
          <w:highlight w:val="none"/>
        </w:rPr>
        <w:t>公告</w:t>
      </w:r>
      <w:r>
        <w:rPr>
          <w:rFonts w:hint="eastAsia" w:ascii="宋体" w:hAnsi="宋体" w:cs="宋体"/>
          <w:bCs/>
          <w:color w:val="000000"/>
          <w:sz w:val="24"/>
          <w:highlight w:val="none"/>
          <w:lang w:val="en-US"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8"/>
        </w:numPr>
        <w:spacing w:line="360" w:lineRule="auto"/>
        <w:ind w:firstLine="482" w:firstLineChars="200"/>
        <w:jc w:val="left"/>
        <w:outlineLvl w:val="1"/>
        <w:rPr>
          <w:rFonts w:hint="eastAsia" w:ascii="宋体" w:hAnsi="宋体" w:cs="宋体"/>
          <w:b/>
          <w:sz w:val="24"/>
          <w:highlight w:val="none"/>
        </w:rPr>
      </w:pPr>
      <w:r>
        <w:rPr>
          <w:rFonts w:hint="eastAsia" w:ascii="宋体" w:hAnsi="宋体" w:cs="宋体"/>
          <w:b/>
          <w:sz w:val="24"/>
          <w:highlight w:val="none"/>
        </w:rPr>
        <w:t>估值</w:t>
      </w:r>
    </w:p>
    <w:p>
      <w:pPr>
        <w:numPr>
          <w:ilvl w:val="0"/>
          <w:numId w:val="3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val="en-US" w:eastAsia="zh-CN"/>
        </w:rPr>
        <w:t>工作</w:t>
      </w:r>
      <w:r>
        <w:rPr>
          <w:rFonts w:hint="eastAsia" w:ascii="宋体" w:hAnsi="宋体" w:cs="宋体"/>
          <w:bCs/>
          <w:color w:val="000000"/>
          <w:sz w:val="24"/>
          <w:highlight w:val="none"/>
          <w:lang w:eastAsia="zh-CN"/>
        </w:rPr>
        <w:t>日</w:t>
      </w:r>
      <w:r>
        <w:rPr>
          <w:rFonts w:hint="eastAsia" w:ascii="宋体" w:hAnsi="宋体" w:cs="宋体"/>
          <w:bCs/>
          <w:color w:val="000000"/>
          <w:sz w:val="24"/>
          <w:highlight w:val="none"/>
        </w:rPr>
        <w:t>，定期由理财管理人和理财托管人核对估值结果并向投资者披露，具体日期以管理人公告为准。</w:t>
      </w:r>
    </w:p>
    <w:p>
      <w:pPr>
        <w:numPr>
          <w:ilvl w:val="0"/>
          <w:numId w:val="3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2"/>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2"/>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rPr>
        <w:t>债券及同业存单类资产，按市价法估值。市价法不能确定公允价值的，采用估值技术进行估值。</w:t>
      </w:r>
    </w:p>
    <w:p>
      <w:pPr>
        <w:numPr>
          <w:ilvl w:val="0"/>
          <w:numId w:val="32"/>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债权类资产，按市价法估值。市价法不能确定其公允价值的，采用估值技术进行估值。</w:t>
      </w:r>
    </w:p>
    <w:p>
      <w:pPr>
        <w:numPr>
          <w:ilvl w:val="0"/>
          <w:numId w:val="32"/>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3"/>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3"/>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lang w:val="en-US" w:eastAsia="zh-CN"/>
        </w:rPr>
        <w:t>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3）</w:t>
      </w:r>
      <w:r>
        <w:rPr>
          <w:rFonts w:hint="eastAsia" w:ascii="宋体" w:hAnsi="宋体"/>
          <w:sz w:val="24"/>
          <w:highlight w:val="none"/>
        </w:rPr>
        <w:t>首次发行未上市的股票，按发行价格进行估值；</w:t>
      </w:r>
    </w:p>
    <w:p>
      <w:pPr>
        <w:numPr>
          <w:ilvl w:val="0"/>
          <w:numId w:val="0"/>
        </w:num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4）</w:t>
      </w:r>
      <w:r>
        <w:rPr>
          <w:rFonts w:hint="eastAsia" w:ascii="宋体" w:hAnsi="宋体"/>
          <w:sz w:val="24"/>
          <w:highlight w:val="none"/>
        </w:rPr>
        <w:t>因持有股票而享有的配股权，采用估值技术确定公允价值。</w:t>
      </w:r>
    </w:p>
    <w:p>
      <w:pPr>
        <w:numPr>
          <w:ilvl w:val="0"/>
          <w:numId w:val="33"/>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2"/>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2"/>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4"/>
        </w:num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4"/>
        </w:num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4"/>
        </w:num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当</w:t>
      </w:r>
      <w:r>
        <w:rPr>
          <w:rFonts w:hint="eastAsia" w:ascii="宋体" w:hAnsi="宋体" w:cs="宋体"/>
          <w:bCs/>
          <w:color w:val="000000"/>
          <w:sz w:val="24"/>
          <w:highlight w:val="none"/>
          <w:lang w:val="en-US" w:eastAsia="zh-CN"/>
        </w:rPr>
        <w:t>前一估值日理财计划资产净值50%以上的资产不具备活跃交易市场或者在活跃市场中无报价，且不能采用估值技术可靠计量公允价值时，管理人应当暂停该理财计划估值，并按照监管规定采取</w:t>
      </w:r>
      <w:r>
        <w:rPr>
          <w:rFonts w:hint="eastAsia" w:ascii="宋体" w:hAnsi="宋体" w:cs="宋体"/>
          <w:bCs/>
          <w:color w:val="000000"/>
          <w:sz w:val="24"/>
          <w:highlight w:val="none"/>
        </w:rPr>
        <w:t>延缓支付赎回款项或暂停接受理财</w:t>
      </w:r>
      <w:r>
        <w:rPr>
          <w:rFonts w:hint="eastAsia" w:ascii="宋体" w:hAnsi="宋体" w:cs="宋体"/>
          <w:bCs/>
          <w:color w:val="000000"/>
          <w:sz w:val="24"/>
          <w:highlight w:val="none"/>
          <w:lang w:eastAsia="zh-CN"/>
        </w:rPr>
        <w:t>计划</w:t>
      </w:r>
      <w:r>
        <w:rPr>
          <w:rFonts w:hint="eastAsia" w:ascii="宋体" w:hAnsi="宋体" w:cs="宋体"/>
          <w:bCs/>
          <w:color w:val="000000"/>
          <w:sz w:val="24"/>
          <w:highlight w:val="none"/>
        </w:rPr>
        <w:t>认购、赎回申请等</w:t>
      </w:r>
      <w:r>
        <w:rPr>
          <w:rFonts w:hint="eastAsia" w:ascii="宋体" w:hAnsi="宋体" w:cs="宋体"/>
          <w:bCs/>
          <w:color w:val="000000"/>
          <w:sz w:val="24"/>
          <w:highlight w:val="none"/>
          <w:lang w:val="en-US" w:eastAsia="zh-CN"/>
        </w:rPr>
        <w:t>措施。</w:t>
      </w:r>
    </w:p>
    <w:p>
      <w:pPr>
        <w:numPr>
          <w:ilvl w:val="0"/>
          <w:numId w:val="34"/>
        </w:num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8"/>
        </w:numPr>
        <w:spacing w:line="360" w:lineRule="auto"/>
        <w:ind w:firstLine="482" w:firstLineChars="200"/>
        <w:jc w:val="left"/>
        <w:outlineLvl w:val="1"/>
        <w:rPr>
          <w:rFonts w:hint="eastAsia" w:ascii="宋体" w:hAnsi="宋体" w:cs="宋体"/>
          <w:b/>
          <w:sz w:val="24"/>
          <w:highlight w:val="none"/>
        </w:rPr>
      </w:pPr>
      <w:r>
        <w:rPr>
          <w:rFonts w:hint="eastAsia" w:ascii="宋体" w:hAnsi="宋体" w:cs="宋体"/>
          <w:b/>
          <w:sz w:val="24"/>
          <w:highlight w:val="none"/>
        </w:rPr>
        <w:t>费用及税收</w:t>
      </w:r>
    </w:p>
    <w:p>
      <w:pPr>
        <w:numPr>
          <w:ilvl w:val="0"/>
          <w:numId w:val="35"/>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、托管费、固定管理费、认购费、申购费、赎回费、浮动管理费以及理财计划运作和清算中产生的其他费用等。</w:t>
      </w:r>
    </w:p>
    <w:p>
      <w:pPr>
        <w:numPr>
          <w:ilvl w:val="0"/>
          <w:numId w:val="35"/>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6"/>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w:t>
      </w:r>
      <w:r>
        <w:rPr>
          <w:rFonts w:hint="eastAsia" w:ascii="宋体" w:hAnsi="宋体" w:cs="宋体"/>
          <w:bCs/>
          <w:color w:val="000000"/>
          <w:sz w:val="24"/>
          <w:highlight w:val="none"/>
          <w:lang w:val="en-US" w:eastAsia="zh-CN"/>
        </w:rPr>
        <w:t>D份额</w:t>
      </w:r>
      <w:r>
        <w:rPr>
          <w:rFonts w:hint="eastAsia" w:ascii="宋体" w:hAnsi="宋体" w:cs="宋体"/>
          <w:bCs/>
          <w:color w:val="000000"/>
          <w:sz w:val="24"/>
          <w:highlight w:val="none"/>
        </w:rPr>
        <w:t>年化</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率为</w:t>
      </w:r>
      <w:r>
        <w:rPr>
          <w:rFonts w:hint="eastAsia" w:ascii="宋体" w:hAnsi="宋体" w:cs="宋体"/>
          <w:szCs w:val="21"/>
          <w:highlight w:val="none"/>
        </w:rPr>
        <w:t>〖</w:t>
      </w:r>
      <w:r>
        <w:rPr>
          <w:rFonts w:hint="eastAsia" w:ascii="宋体" w:hAnsi="宋体" w:cs="宋体"/>
          <w:szCs w:val="21"/>
          <w:highlight w:val="none"/>
          <w:lang w:val="en-US" w:eastAsia="zh-CN"/>
        </w:rPr>
        <w:t>0.20%</w:t>
      </w:r>
      <w:r>
        <w:rPr>
          <w:rFonts w:hint="eastAsia" w:ascii="宋体" w:hAnsi="宋体" w:cs="宋体"/>
          <w:szCs w:val="21"/>
          <w:highlight w:val="none"/>
        </w:rPr>
        <w:t>〗</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以D份额</w:t>
      </w:r>
      <w:r>
        <w:rPr>
          <w:rFonts w:hint="eastAsia" w:ascii="宋体" w:hAnsi="宋体" w:cs="宋体"/>
          <w:bCs/>
          <w:color w:val="000000"/>
          <w:sz w:val="24"/>
          <w:highlight w:val="none"/>
        </w:rPr>
        <w:t>为例</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szCs w:val="21"/>
          <w:highlight w:val="none"/>
        </w:rPr>
        <w:t>〖</w:t>
      </w:r>
      <w:r>
        <w:rPr>
          <w:rFonts w:hint="eastAsia" w:ascii="宋体" w:hAnsi="宋体" w:cs="宋体"/>
          <w:szCs w:val="21"/>
          <w:highlight w:val="none"/>
          <w:lang w:val="en-US" w:eastAsia="zh-CN"/>
        </w:rPr>
        <w:t>0.20%</w:t>
      </w:r>
      <w:r>
        <w:rPr>
          <w:rFonts w:hint="eastAsia" w:ascii="宋体" w:hAnsi="宋体" w:cs="宋体"/>
          <w:szCs w:val="21"/>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eastAsia="宋体" w:cs="宋体"/>
          <w:bCs/>
          <w:color w:val="000000"/>
          <w:sz w:val="24"/>
          <w:highlight w:val="none"/>
          <w:lang w:eastAsia="zh-CN"/>
        </w:rPr>
      </w:pPr>
      <w:r>
        <w:rPr>
          <w:rFonts w:hint="eastAsia" w:ascii="宋体" w:hAnsi="宋体" w:cs="宋体"/>
          <w:bCs/>
          <w:color w:val="000000"/>
          <w:sz w:val="24"/>
          <w:highlight w:val="none"/>
        </w:rPr>
        <w:t>H为</w:t>
      </w:r>
      <w:r>
        <w:rPr>
          <w:rFonts w:hint="eastAsia" w:ascii="宋体" w:hAnsi="宋体" w:cs="宋体"/>
          <w:bCs/>
          <w:color w:val="000000"/>
          <w:sz w:val="24"/>
          <w:highlight w:val="none"/>
          <w:lang w:val="en-US" w:eastAsia="zh-CN"/>
        </w:rPr>
        <w:t>D份额</w:t>
      </w:r>
      <w:r>
        <w:rPr>
          <w:rFonts w:hint="eastAsia" w:ascii="宋体" w:hAnsi="宋体" w:cs="宋体"/>
          <w:bCs/>
          <w:color w:val="000000"/>
          <w:sz w:val="24"/>
          <w:highlight w:val="none"/>
        </w:rPr>
        <w:t>每日应计提的</w:t>
      </w:r>
      <w:r>
        <w:rPr>
          <w:rFonts w:hint="eastAsia" w:ascii="宋体" w:hAnsi="宋体" w:cs="宋体"/>
          <w:bCs/>
          <w:color w:val="000000"/>
          <w:sz w:val="24"/>
          <w:highlight w:val="none"/>
          <w:lang w:eastAsia="zh-CN"/>
        </w:rPr>
        <w:t>销售服务费</w:t>
      </w:r>
    </w:p>
    <w:p>
      <w:pPr>
        <w:spacing w:line="360" w:lineRule="auto"/>
        <w:ind w:firstLine="480" w:firstLineChars="200"/>
        <w:jc w:val="left"/>
        <w:rPr>
          <w:rFonts w:hint="eastAsia" w:ascii="宋体" w:hAnsi="宋体" w:cs="宋体"/>
          <w:bCs/>
          <w:color w:val="FF0000"/>
          <w:sz w:val="24"/>
          <w:highlight w:val="none"/>
        </w:rPr>
      </w:pPr>
      <w:r>
        <w:rPr>
          <w:rFonts w:hint="eastAsia" w:ascii="宋体" w:hAnsi="宋体" w:cs="宋体"/>
          <w:bCs/>
          <w:color w:val="000000"/>
          <w:sz w:val="24"/>
          <w:highlight w:val="none"/>
        </w:rPr>
        <w:t>E为</w:t>
      </w:r>
      <w:r>
        <w:rPr>
          <w:rFonts w:hint="eastAsia" w:ascii="宋体" w:hAnsi="宋体" w:cs="宋体"/>
          <w:bCs/>
          <w:color w:val="000000"/>
          <w:sz w:val="24"/>
          <w:highlight w:val="none"/>
          <w:lang w:val="en-US" w:eastAsia="zh-CN"/>
        </w:rPr>
        <w:t>D份额</w:t>
      </w:r>
      <w:r>
        <w:rPr>
          <w:rFonts w:hint="eastAsia" w:ascii="宋体" w:hAnsi="宋体" w:cs="宋体"/>
          <w:bCs/>
          <w:color w:val="000000"/>
          <w:sz w:val="24"/>
          <w:highlight w:val="none"/>
        </w:rPr>
        <w:t>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原则上按日计提。</w:t>
      </w:r>
    </w:p>
    <w:p>
      <w:pPr>
        <w:numPr>
          <w:ilvl w:val="0"/>
          <w:numId w:val="36"/>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szCs w:val="21"/>
          <w:highlight w:val="none"/>
        </w:rPr>
        <w:t>〖</w:t>
      </w:r>
      <w:r>
        <w:rPr>
          <w:rFonts w:hint="eastAsia" w:ascii="宋体" w:hAnsi="宋体" w:cs="宋体"/>
          <w:szCs w:val="21"/>
          <w:highlight w:val="none"/>
          <w:lang w:val="en-US" w:eastAsia="zh-CN"/>
        </w:rPr>
        <w:t>0.025</w:t>
      </w:r>
      <w:r>
        <w:rPr>
          <w:rFonts w:hint="eastAsia" w:ascii="宋体" w:hAnsi="宋体" w:cs="宋体"/>
          <w:bCs/>
          <w:color w:val="000000"/>
          <w:sz w:val="24"/>
          <w:highlight w:val="none"/>
        </w:rPr>
        <w:t>%</w:t>
      </w:r>
      <w:r>
        <w:rPr>
          <w:rFonts w:hint="eastAsia" w:ascii="宋体" w:hAnsi="宋体" w:cs="宋体"/>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szCs w:val="21"/>
          <w:highlight w:val="none"/>
        </w:rPr>
        <w:t>〖</w:t>
      </w:r>
      <w:r>
        <w:rPr>
          <w:rFonts w:hint="eastAsia" w:ascii="宋体" w:hAnsi="宋体" w:cs="宋体"/>
          <w:szCs w:val="21"/>
          <w:highlight w:val="none"/>
          <w:lang w:val="en-US" w:eastAsia="zh-CN"/>
        </w:rPr>
        <w:t>0.025</w:t>
      </w:r>
      <w:r>
        <w:rPr>
          <w:rFonts w:hint="eastAsia" w:ascii="宋体" w:hAnsi="宋体" w:cs="宋体"/>
          <w:bCs/>
          <w:color w:val="000000"/>
          <w:sz w:val="24"/>
          <w:highlight w:val="none"/>
        </w:rPr>
        <w:t>%</w:t>
      </w:r>
      <w:r>
        <w:rPr>
          <w:rFonts w:hint="eastAsia" w:ascii="宋体" w:hAnsi="宋体" w:cs="宋体"/>
          <w:szCs w:val="21"/>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w:t>
      </w:r>
      <w:r>
        <w:rPr>
          <w:rFonts w:hint="eastAsia" w:ascii="宋体" w:hAnsi="宋体" w:cs="宋体"/>
          <w:bCs/>
          <w:color w:val="000000"/>
          <w:sz w:val="24"/>
          <w:highlight w:val="none"/>
          <w:lang w:val="en-US" w:eastAsia="zh-CN"/>
        </w:rPr>
        <w:t>本理财计划</w:t>
      </w:r>
      <w:r>
        <w:rPr>
          <w:rFonts w:hint="eastAsia" w:ascii="宋体" w:hAnsi="宋体" w:cs="宋体"/>
          <w:bCs/>
          <w:color w:val="000000"/>
          <w:sz w:val="24"/>
          <w:highlight w:val="none"/>
        </w:rPr>
        <w:t>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6"/>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w:t>
      </w:r>
      <w:r>
        <w:rPr>
          <w:rFonts w:hint="eastAsia" w:ascii="宋体" w:hAnsi="宋体" w:cs="宋体"/>
          <w:bCs/>
          <w:color w:val="000000"/>
          <w:sz w:val="24"/>
          <w:highlight w:val="none"/>
          <w:lang w:val="en-US" w:eastAsia="zh-CN"/>
        </w:rPr>
        <w:t>D份额</w:t>
      </w:r>
      <w:r>
        <w:rPr>
          <w:rFonts w:hint="eastAsia" w:ascii="宋体" w:hAnsi="宋体" w:cs="宋体"/>
          <w:bCs/>
          <w:color w:val="000000"/>
          <w:sz w:val="24"/>
          <w:highlight w:val="none"/>
        </w:rPr>
        <w:t>年化固定管理费率为</w:t>
      </w:r>
      <w:r>
        <w:rPr>
          <w:rFonts w:hint="eastAsia" w:ascii="宋体" w:hAnsi="宋体" w:cs="宋体"/>
          <w:szCs w:val="21"/>
          <w:highlight w:val="none"/>
        </w:rPr>
        <w:t>〖</w:t>
      </w:r>
      <w:r>
        <w:rPr>
          <w:rFonts w:hint="eastAsia" w:ascii="宋体" w:hAnsi="宋体" w:cs="宋体"/>
          <w:szCs w:val="21"/>
          <w:highlight w:val="none"/>
          <w:lang w:val="en-US" w:eastAsia="zh-CN"/>
        </w:rPr>
        <w:t>0.30%</w:t>
      </w:r>
      <w:r>
        <w:rPr>
          <w:rFonts w:hint="eastAsia" w:ascii="宋体" w:hAnsi="宋体" w:cs="宋体"/>
          <w:szCs w:val="21"/>
          <w:highlight w:val="none"/>
        </w:rPr>
        <w:t>〗</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以D份额</w:t>
      </w:r>
      <w:r>
        <w:rPr>
          <w:rFonts w:hint="eastAsia" w:ascii="宋体" w:hAnsi="宋体" w:cs="宋体"/>
          <w:bCs/>
          <w:color w:val="000000"/>
          <w:sz w:val="24"/>
          <w:highlight w:val="none"/>
        </w:rPr>
        <w:t>为例</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szCs w:val="21"/>
          <w:highlight w:val="none"/>
        </w:rPr>
        <w:t>〖</w:t>
      </w:r>
      <w:r>
        <w:rPr>
          <w:rFonts w:hint="eastAsia" w:ascii="宋体" w:hAnsi="宋体" w:cs="宋体"/>
          <w:szCs w:val="21"/>
          <w:highlight w:val="none"/>
          <w:lang w:val="en-US" w:eastAsia="zh-CN"/>
        </w:rPr>
        <w:t>0.30%</w:t>
      </w:r>
      <w:r>
        <w:rPr>
          <w:rFonts w:hint="eastAsia" w:ascii="宋体" w:hAnsi="宋体" w:cs="宋体"/>
          <w:szCs w:val="21"/>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w:t>
      </w:r>
      <w:r>
        <w:rPr>
          <w:rFonts w:hint="eastAsia" w:ascii="宋体" w:hAnsi="宋体" w:cs="宋体"/>
          <w:bCs/>
          <w:color w:val="000000"/>
          <w:sz w:val="24"/>
          <w:highlight w:val="none"/>
          <w:lang w:val="en-US" w:eastAsia="zh-CN"/>
        </w:rPr>
        <w:t>D份额</w:t>
      </w:r>
      <w:r>
        <w:rPr>
          <w:rFonts w:hint="eastAsia" w:ascii="宋体" w:hAnsi="宋体" w:cs="宋体"/>
          <w:bCs/>
          <w:color w:val="000000"/>
          <w:sz w:val="24"/>
          <w:highlight w:val="none"/>
        </w:rPr>
        <w:t>每日应计提的管理费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w:t>
      </w:r>
      <w:r>
        <w:rPr>
          <w:rFonts w:hint="eastAsia" w:ascii="宋体" w:hAnsi="宋体" w:cs="宋体"/>
          <w:bCs/>
          <w:color w:val="000000"/>
          <w:sz w:val="24"/>
          <w:highlight w:val="none"/>
          <w:lang w:val="en-US" w:eastAsia="zh-CN"/>
        </w:rPr>
        <w:t>D份额</w:t>
      </w:r>
      <w:r>
        <w:rPr>
          <w:rFonts w:hint="eastAsia" w:ascii="宋体" w:hAnsi="宋体" w:cs="宋体"/>
          <w:bCs/>
          <w:color w:val="000000"/>
          <w:sz w:val="24"/>
          <w:highlight w:val="none"/>
        </w:rPr>
        <w:t>前一日资产净值</w:t>
      </w:r>
    </w:p>
    <w:p>
      <w:pPr>
        <w:spacing w:line="360" w:lineRule="auto"/>
        <w:ind w:firstLine="480" w:firstLineChars="200"/>
        <w:jc w:val="left"/>
        <w:rPr>
          <w:rFonts w:hint="eastAsia" w:ascii="宋体" w:hAnsi="宋体" w:eastAsia="宋体" w:cs="宋体"/>
          <w:bCs/>
          <w:color w:val="00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，如理财计划实际运作结果不达业绩比较基准时，管理人有权减免固定管理费。</w:t>
      </w:r>
    </w:p>
    <w:p>
      <w:pPr>
        <w:numPr>
          <w:ilvl w:val="0"/>
          <w:numId w:val="36"/>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hint="eastAsia" w:ascii="宋体" w:hAnsi="宋体" w:cs="宋体"/>
          <w:bCs/>
          <w:color w:val="FF0000"/>
          <w:sz w:val="24"/>
          <w:highlight w:val="none"/>
        </w:rPr>
      </w:pPr>
      <w:r>
        <w:rPr>
          <w:rFonts w:hint="eastAsia" w:ascii="宋体" w:hAnsi="宋体" w:cs="宋体"/>
          <w:bCs/>
          <w:color w:val="000000"/>
          <w:sz w:val="24"/>
          <w:highlight w:val="none"/>
        </w:rPr>
        <w:t>本理财计划免除认购费。</w:t>
      </w:r>
    </w:p>
    <w:p>
      <w:pPr>
        <w:numPr>
          <w:ilvl w:val="0"/>
          <w:numId w:val="37"/>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申购费</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本理财计划免除申购费。</w:t>
      </w:r>
    </w:p>
    <w:p>
      <w:pPr>
        <w:numPr>
          <w:ilvl w:val="0"/>
          <w:numId w:val="37"/>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赎回费</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本理财计划免除赎回费。</w:t>
      </w:r>
    </w:p>
    <w:p>
      <w:pPr>
        <w:numPr>
          <w:ilvl w:val="0"/>
          <w:numId w:val="38"/>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浮动管理费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本理财计划免除</w:t>
      </w:r>
      <w:r>
        <w:rPr>
          <w:rFonts w:hint="eastAsia" w:ascii="宋体" w:hAnsi="宋体" w:cs="宋体"/>
          <w:bCs/>
          <w:color w:val="000000"/>
          <w:sz w:val="24"/>
          <w:highlight w:val="none"/>
          <w:lang w:val="en-US" w:eastAsia="zh-CN"/>
        </w:rPr>
        <w:t>浮动管理费。</w:t>
      </w:r>
    </w:p>
    <w:p>
      <w:pPr>
        <w:numPr>
          <w:ilvl w:val="0"/>
          <w:numId w:val="39"/>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4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4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4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4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4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4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ind w:firstLine="482" w:firstLineChars="200"/>
        <w:jc w:val="left"/>
        <w:rPr>
          <w:rFonts w:ascii="宋体" w:hAnsi="宋体" w:cs="宋体"/>
          <w:bCs/>
          <w:sz w:val="24"/>
          <w:highlight w:val="none"/>
        </w:rPr>
      </w:pP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4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税收说明</w:t>
      </w:r>
    </w:p>
    <w:p>
      <w:pPr>
        <w:numPr>
          <w:ilvl w:val="0"/>
          <w:numId w:val="42"/>
        </w:numPr>
        <w:spacing w:line="360" w:lineRule="auto"/>
        <w:ind w:firstLine="480" w:firstLineChars="200"/>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42"/>
        </w:num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42"/>
        </w:numPr>
        <w:spacing w:line="360" w:lineRule="auto"/>
        <w:ind w:firstLine="480" w:firstLineChars="200"/>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8"/>
        </w:numPr>
        <w:spacing w:line="360" w:lineRule="auto"/>
        <w:ind w:firstLine="482" w:firstLineChars="200"/>
        <w:jc w:val="left"/>
        <w:outlineLvl w:val="1"/>
        <w:rPr>
          <w:rFonts w:hint="eastAsia" w:ascii="宋体" w:hAnsi="宋体" w:cs="宋体"/>
          <w:b/>
          <w:sz w:val="24"/>
          <w:highlight w:val="none"/>
        </w:rPr>
      </w:pPr>
      <w:r>
        <w:rPr>
          <w:rFonts w:hint="eastAsia" w:ascii="宋体" w:hAnsi="宋体" w:cs="宋体"/>
          <w:b/>
          <w:sz w:val="24"/>
          <w:highlight w:val="none"/>
        </w:rPr>
        <w:t>收益计算</w:t>
      </w:r>
    </w:p>
    <w:p>
      <w:pPr>
        <w:numPr>
          <w:ilvl w:val="0"/>
          <w:numId w:val="43"/>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投资者理财收益＝赎回份额×赎回确认日（提前终止日）</w:t>
      </w:r>
      <w:r>
        <w:rPr>
          <w:rFonts w:hint="eastAsia" w:ascii="宋体" w:hAnsi="宋体" w:cs="宋体"/>
          <w:bCs/>
          <w:color w:val="000000"/>
          <w:sz w:val="24"/>
          <w:highlight w:val="none"/>
          <w:lang w:val="en-US" w:eastAsia="zh-CN"/>
        </w:rPr>
        <w:t>前一日</w:t>
      </w:r>
      <w:r>
        <w:rPr>
          <w:rFonts w:hint="eastAsia" w:ascii="宋体" w:hAnsi="宋体" w:cs="宋体"/>
          <w:bCs/>
          <w:color w:val="000000"/>
          <w:sz w:val="24"/>
          <w:highlight w:val="none"/>
        </w:rPr>
        <w:t>单位净值-认购或申购金额+</w:t>
      </w:r>
      <w:r>
        <w:rPr>
          <w:rFonts w:hint="eastAsia" w:ascii="宋体" w:hAnsi="宋体" w:cs="宋体"/>
          <w:bCs/>
          <w:sz w:val="24"/>
          <w:highlight w:val="none"/>
        </w:rPr>
        <w:t>份额持有期间累计分红（如有）</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份额=认购或申购金额/认购或申购确认日</w:t>
      </w:r>
      <w:r>
        <w:rPr>
          <w:rFonts w:hint="eastAsia" w:ascii="宋体" w:hAnsi="宋体" w:cs="宋体"/>
          <w:bCs/>
          <w:color w:val="000000"/>
          <w:sz w:val="24"/>
          <w:highlight w:val="none"/>
          <w:lang w:val="en-US" w:eastAsia="zh-CN"/>
        </w:rPr>
        <w:t>前一日</w:t>
      </w:r>
      <w:r>
        <w:rPr>
          <w:rFonts w:hint="eastAsia" w:ascii="宋体" w:hAnsi="宋体" w:cs="宋体"/>
          <w:bCs/>
          <w:color w:val="000000"/>
          <w:sz w:val="24"/>
          <w:highlight w:val="none"/>
        </w:rPr>
        <w:t>单位净值。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赎回确认日（提前终止日）</w:t>
      </w:r>
      <w:r>
        <w:rPr>
          <w:rFonts w:hint="eastAsia" w:ascii="宋体" w:hAnsi="宋体" w:cs="宋体"/>
          <w:bCs/>
          <w:color w:val="000000"/>
          <w:sz w:val="24"/>
          <w:highlight w:val="none"/>
          <w:lang w:val="en-US" w:eastAsia="zh-CN"/>
        </w:rPr>
        <w:t>前一日的</w:t>
      </w:r>
      <w:r>
        <w:rPr>
          <w:rFonts w:hint="eastAsia" w:ascii="宋体" w:hAnsi="宋体" w:cs="宋体"/>
          <w:bCs/>
          <w:color w:val="000000"/>
          <w:sz w:val="24"/>
          <w:highlight w:val="none"/>
        </w:rPr>
        <w:t>单位净值为提取相关费用及税费后的单位理财计划份额净值。</w:t>
      </w:r>
    </w:p>
    <w:p>
      <w:pPr>
        <w:numPr>
          <w:ilvl w:val="0"/>
          <w:numId w:val="43"/>
        </w:numPr>
        <w:spacing w:line="360" w:lineRule="auto"/>
        <w:jc w:val="left"/>
        <w:outlineLvl w:val="2"/>
        <w:rPr>
          <w:rFonts w:hint="eastAsia" w:ascii="宋体" w:hAnsi="宋体" w:cs="宋体"/>
          <w:bCs/>
          <w:color w:val="000000"/>
          <w:sz w:val="24"/>
          <w:highlight w:val="none"/>
        </w:rPr>
      </w:pPr>
      <w:r>
        <w:rPr>
          <w:rFonts w:hint="eastAsia" w:ascii="宋体" w:hAnsi="宋体" w:cs="宋体"/>
          <w:b/>
          <w:sz w:val="24"/>
          <w:highlight w:val="none"/>
        </w:rPr>
        <w:t>示例说明</w:t>
      </w:r>
    </w:p>
    <w:p>
      <w:pPr>
        <w:numPr>
          <w:ilvl w:val="0"/>
          <w:numId w:val="44"/>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示例</w:t>
      </w:r>
      <w:r>
        <w:rPr>
          <w:rFonts w:hint="eastAsia" w:ascii="宋体" w:hAnsi="宋体" w:cs="宋体"/>
          <w:b/>
          <w:sz w:val="24"/>
          <w:highlight w:val="none"/>
          <w:lang w:eastAsia="zh-CN"/>
        </w:rPr>
        <w:t>一</w:t>
      </w:r>
    </w:p>
    <w:p>
      <w:pPr>
        <w:spacing w:line="360" w:lineRule="auto"/>
        <w:ind w:firstLine="482" w:firstLineChars="200"/>
        <w:jc w:val="left"/>
        <w:rPr>
          <w:rFonts w:hint="eastAsia" w:ascii="宋体" w:hAnsi="宋体" w:cs="宋体"/>
          <w:bCs/>
          <w:color w:val="000000"/>
          <w:sz w:val="24"/>
          <w:highlight w:val="none"/>
        </w:rPr>
      </w:pPr>
      <w:r>
        <w:rPr>
          <w:rFonts w:hint="eastAsia" w:ascii="宋体" w:hAnsi="宋体" w:cs="宋体"/>
          <w:b/>
          <w:color w:val="000000"/>
          <w:sz w:val="24"/>
          <w:highlight w:val="none"/>
        </w:rPr>
        <w:t>扣除托管费、固定管理费、</w:t>
      </w:r>
      <w:r>
        <w:rPr>
          <w:rFonts w:hint="eastAsia" w:ascii="宋体" w:hAnsi="宋体" w:cs="宋体"/>
          <w:b/>
          <w:color w:val="000000"/>
          <w:sz w:val="24"/>
          <w:highlight w:val="none"/>
          <w:lang w:eastAsia="zh-CN"/>
        </w:rPr>
        <w:t>销售服务费</w:t>
      </w:r>
      <w:r>
        <w:rPr>
          <w:rFonts w:hint="eastAsia" w:ascii="宋体" w:hAnsi="宋体" w:cs="宋体"/>
          <w:b/>
          <w:color w:val="000000"/>
          <w:sz w:val="24"/>
          <w:highlight w:val="none"/>
        </w:rPr>
        <w:t>（如有）后，投资</w:t>
      </w:r>
      <w:r>
        <w:rPr>
          <w:rFonts w:hint="eastAsia" w:ascii="宋体" w:hAnsi="宋体" w:cs="宋体"/>
          <w:b/>
          <w:color w:val="000000"/>
          <w:sz w:val="24"/>
          <w:highlight w:val="none"/>
          <w:lang w:val="en-US" w:eastAsia="zh-CN"/>
        </w:rPr>
        <w:t>产生盈利</w:t>
      </w:r>
      <w:r>
        <w:rPr>
          <w:rFonts w:hint="eastAsia" w:ascii="宋体" w:hAnsi="宋体" w:cs="宋体"/>
          <w:b/>
          <w:color w:val="000000"/>
          <w:sz w:val="24"/>
          <w:highlight w:val="none"/>
        </w:rPr>
        <w:t>。</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以某投资者投资10万元〖</w:t>
      </w:r>
      <w:r>
        <w:rPr>
          <w:rFonts w:hint="eastAsia" w:ascii="宋体" w:hAnsi="宋体" w:cs="宋体"/>
          <w:bCs/>
          <w:color w:val="000000"/>
          <w:sz w:val="24"/>
          <w:highlight w:val="none"/>
          <w:lang w:val="en-US" w:eastAsia="zh-CN"/>
        </w:rPr>
        <w:t>D份额</w:t>
      </w:r>
      <w:r>
        <w:rPr>
          <w:rFonts w:hint="eastAsia" w:ascii="宋体" w:hAnsi="宋体" w:cs="宋体"/>
          <w:bCs/>
          <w:color w:val="000000"/>
          <w:sz w:val="24"/>
          <w:highlight w:val="none"/>
        </w:rPr>
        <w:t>〗为例，假设购买时理财计划净值为1.00元，折算份额为100,000.00份，假设投资理财计划362天。到期时扣除托管费、固定管理费、</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（如有）后，如理财计划净值为1.0426</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期间无分红，</w:t>
      </w:r>
      <w:r>
        <w:rPr>
          <w:rFonts w:hint="eastAsia" w:ascii="宋体" w:hAnsi="宋体" w:cs="宋体"/>
          <w:bCs/>
          <w:color w:val="000000"/>
          <w:sz w:val="24"/>
          <w:highlight w:val="none"/>
        </w:rPr>
        <w:t>此时，(1.0426</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/1.00-1)×365/362=4.30%，即投资</w:t>
      </w:r>
      <w:r>
        <w:rPr>
          <w:rFonts w:hint="eastAsia" w:ascii="宋体" w:hAnsi="宋体" w:cs="宋体"/>
          <w:bCs/>
          <w:color w:val="000000"/>
          <w:sz w:val="24"/>
          <w:highlight w:val="none"/>
          <w:lang w:val="en-US" w:eastAsia="zh-CN"/>
        </w:rPr>
        <w:t>收益达到年化</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4.30%</w:t>
      </w:r>
      <w:r>
        <w:rPr>
          <w:rFonts w:hint="eastAsia" w:ascii="宋体" w:hAnsi="宋体" w:cs="宋体"/>
          <w:bCs/>
          <w:color w:val="000000"/>
          <w:sz w:val="24"/>
          <w:highlight w:val="none"/>
        </w:rPr>
        <w:t>〗，投资者最终收益为：100,000.00×(1.0426</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-1.00）=4,260.00（元）</w:t>
      </w:r>
    </w:p>
    <w:p>
      <w:pPr>
        <w:numPr>
          <w:ilvl w:val="0"/>
          <w:numId w:val="44"/>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示例</w:t>
      </w:r>
      <w:r>
        <w:rPr>
          <w:rFonts w:hint="eastAsia" w:ascii="宋体" w:hAnsi="宋体" w:cs="宋体"/>
          <w:b/>
          <w:sz w:val="24"/>
          <w:highlight w:val="none"/>
          <w:lang w:val="en-US" w:eastAsia="zh-CN"/>
        </w:rPr>
        <w:t>二</w:t>
      </w:r>
    </w:p>
    <w:p>
      <w:pPr>
        <w:spacing w:line="360" w:lineRule="auto"/>
        <w:ind w:firstLine="482" w:firstLineChars="200"/>
        <w:jc w:val="left"/>
        <w:rPr>
          <w:rFonts w:hint="eastAsia" w:ascii="宋体" w:hAnsi="宋体" w:cs="宋体"/>
          <w:b/>
          <w:color w:val="000000"/>
          <w:sz w:val="24"/>
          <w:highlight w:val="none"/>
        </w:rPr>
      </w:pPr>
      <w:r>
        <w:rPr>
          <w:rFonts w:hint="eastAsia" w:ascii="宋体" w:hAnsi="宋体" w:cs="宋体"/>
          <w:b/>
          <w:color w:val="000000"/>
          <w:sz w:val="24"/>
          <w:highlight w:val="none"/>
        </w:rPr>
        <w:t>扣除托管费、固定管理费、</w:t>
      </w:r>
      <w:r>
        <w:rPr>
          <w:rFonts w:hint="eastAsia" w:ascii="宋体" w:hAnsi="宋体" w:cs="宋体"/>
          <w:b/>
          <w:color w:val="000000"/>
          <w:sz w:val="24"/>
          <w:highlight w:val="none"/>
          <w:lang w:eastAsia="zh-CN"/>
        </w:rPr>
        <w:t>销售服务费</w:t>
      </w:r>
      <w:r>
        <w:rPr>
          <w:rFonts w:hint="eastAsia" w:ascii="宋体" w:hAnsi="宋体" w:cs="宋体"/>
          <w:b/>
          <w:color w:val="000000"/>
          <w:sz w:val="24"/>
          <w:highlight w:val="none"/>
        </w:rPr>
        <w:t>（如有）后，投资发生亏损。</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以某投资者投资10万元〖</w:t>
      </w:r>
      <w:r>
        <w:rPr>
          <w:rFonts w:hint="eastAsia" w:ascii="宋体" w:hAnsi="宋体" w:cs="宋体"/>
          <w:bCs/>
          <w:color w:val="000000"/>
          <w:sz w:val="24"/>
          <w:highlight w:val="none"/>
          <w:lang w:val="en-US" w:eastAsia="zh-CN"/>
        </w:rPr>
        <w:t>D份额</w:t>
      </w:r>
      <w:r>
        <w:rPr>
          <w:rFonts w:hint="eastAsia" w:ascii="宋体" w:hAnsi="宋体" w:cs="宋体"/>
          <w:bCs/>
          <w:color w:val="000000"/>
          <w:sz w:val="24"/>
          <w:highlight w:val="none"/>
        </w:rPr>
        <w:t>〗为例，假设购买时理财计划净值为1.00元，折算份额为100,000.00份，假设投资理财计划362天。到期时扣除托管费、固定管理费、</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（如有）后，如理财计划净值为0.9975</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w:t>
      </w:r>
      <w:r>
        <w:rPr>
          <w:rFonts w:hint="eastAsia" w:ascii="宋体" w:hAnsi="宋体" w:cs="宋体"/>
          <w:bCs/>
          <w:color w:val="000000"/>
          <w:sz w:val="24"/>
          <w:highlight w:val="none"/>
          <w:lang w:val="en-US" w:eastAsia="zh-CN"/>
        </w:rPr>
        <w:t>期间无分红，</w:t>
      </w:r>
      <w:r>
        <w:rPr>
          <w:rFonts w:hint="eastAsia" w:ascii="宋体" w:hAnsi="宋体" w:cs="宋体"/>
          <w:bCs/>
          <w:color w:val="000000"/>
          <w:sz w:val="24"/>
          <w:highlight w:val="none"/>
        </w:rPr>
        <w:t>投资者最终收益为：100,000.00×（0.9975</w:t>
      </w:r>
      <w:r>
        <w:rPr>
          <w:rFonts w:hint="eastAsia" w:ascii="宋体" w:hAnsi="宋体" w:cs="宋体"/>
          <w:bCs/>
          <w:color w:val="000000"/>
          <w:sz w:val="24"/>
          <w:highlight w:val="none"/>
          <w:lang w:val="en-US" w:eastAsia="zh-CN"/>
        </w:rPr>
        <w:t>00</w:t>
      </w:r>
      <w:r>
        <w:rPr>
          <w:rFonts w:hint="eastAsia" w:ascii="宋体" w:hAnsi="宋体" w:cs="宋体"/>
          <w:bCs/>
          <w:color w:val="000000"/>
          <w:sz w:val="24"/>
          <w:highlight w:val="none"/>
        </w:rPr>
        <w:t>-1.00）=-250.00（元）。</w:t>
      </w:r>
    </w:p>
    <w:p>
      <w:pPr>
        <w:numPr>
          <w:ilvl w:val="0"/>
          <w:numId w:val="43"/>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8"/>
        </w:numPr>
        <w:spacing w:line="360" w:lineRule="auto"/>
        <w:ind w:firstLine="482" w:firstLineChars="200"/>
        <w:jc w:val="left"/>
        <w:outlineLvl w:val="1"/>
        <w:rPr>
          <w:rFonts w:hint="eastAsia" w:ascii="宋体" w:hAnsi="宋体" w:cs="宋体"/>
          <w:b/>
          <w:sz w:val="24"/>
          <w:highlight w:val="none"/>
        </w:rPr>
      </w:pPr>
      <w:r>
        <w:rPr>
          <w:rFonts w:hint="eastAsia" w:ascii="宋体" w:hAnsi="宋体" w:cs="宋体"/>
          <w:b/>
          <w:sz w:val="24"/>
          <w:highlight w:val="none"/>
        </w:rPr>
        <w:t>交易规则</w:t>
      </w:r>
    </w:p>
    <w:p>
      <w:pPr>
        <w:numPr>
          <w:ilvl w:val="0"/>
          <w:numId w:val="45"/>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认购</w:t>
      </w:r>
    </w:p>
    <w:p>
      <w:pPr>
        <w:numPr>
          <w:ilvl w:val="0"/>
          <w:numId w:val="46"/>
        </w:num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p>
    <w:p>
      <w:pPr>
        <w:numPr>
          <w:ilvl w:val="0"/>
          <w:numId w:val="46"/>
        </w:num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6"/>
        </w:num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50％，管理人将不再接受超出部分的认购申请。非因投资管理人主观因素导致突破前款规定比例限制的，在单一投资者持有比例降至50％以下之前，管理人将不再接受该投资者对该理财产品的认购申请。投资者持有份额的计算以管理人登记为准。</w:t>
      </w:r>
    </w:p>
    <w:p>
      <w:pPr>
        <w:numPr>
          <w:ilvl w:val="0"/>
          <w:numId w:val="45"/>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成立</w:t>
      </w:r>
    </w:p>
    <w:p>
      <w:pPr>
        <w:numPr>
          <w:ilvl w:val="0"/>
          <w:numId w:val="47"/>
        </w:num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7"/>
        </w:numPr>
        <w:spacing w:line="360" w:lineRule="auto"/>
        <w:ind w:firstLine="480" w:firstLineChars="200"/>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5"/>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申购及赎回</w:t>
      </w:r>
    </w:p>
    <w:p>
      <w:pPr>
        <w:numPr>
          <w:ilvl w:val="0"/>
          <w:numId w:val="48"/>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交易确认及时间</w:t>
      </w:r>
    </w:p>
    <w:p>
      <w:pPr>
        <w:numPr>
          <w:ilvl w:val="0"/>
          <w:numId w:val="49"/>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本理财计划在每个开放期</w:t>
      </w:r>
      <w:r>
        <w:rPr>
          <w:rFonts w:hint="eastAsia" w:ascii="宋体" w:hAnsi="宋体" w:cs="宋体"/>
          <w:bCs/>
          <w:sz w:val="24"/>
          <w:highlight w:val="none"/>
          <w:lang w:val="en-US" w:eastAsia="zh-CN"/>
        </w:rPr>
        <w:t>的</w:t>
      </w:r>
      <w:r>
        <w:rPr>
          <w:rFonts w:hint="eastAsia" w:ascii="宋体" w:hAnsi="宋体" w:cs="宋体"/>
          <w:bCs/>
          <w:sz w:val="24"/>
          <w:highlight w:val="none"/>
        </w:rPr>
        <w:t>工作时间可进行申购</w:t>
      </w:r>
      <w:r>
        <w:rPr>
          <w:rFonts w:hint="eastAsia" w:ascii="宋体" w:hAnsi="宋体" w:cs="宋体"/>
          <w:bCs/>
          <w:sz w:val="24"/>
          <w:highlight w:val="none"/>
          <w:lang w:val="en-US" w:eastAsia="zh-CN"/>
        </w:rPr>
        <w:t>和撤单</w:t>
      </w:r>
      <w:r>
        <w:rPr>
          <w:rFonts w:hint="eastAsia" w:ascii="宋体" w:hAnsi="宋体" w:cs="宋体"/>
          <w:bCs/>
          <w:sz w:val="24"/>
          <w:highlight w:val="none"/>
        </w:rPr>
        <w:t>，申购申请将在确认日进行确认，即申购</w:t>
      </w:r>
      <w:r>
        <w:rPr>
          <w:rFonts w:hint="eastAsia" w:ascii="宋体" w:hAnsi="宋体" w:cs="宋体"/>
          <w:bCs/>
          <w:sz w:val="24"/>
          <w:highlight w:val="none"/>
          <w:lang w:val="en-US" w:eastAsia="zh-CN"/>
        </w:rPr>
        <w:t>申请日</w:t>
      </w:r>
      <w:r>
        <w:rPr>
          <w:rFonts w:hint="eastAsia" w:ascii="宋体" w:hAnsi="宋体" w:cs="宋体"/>
          <w:bCs/>
          <w:sz w:val="24"/>
          <w:highlight w:val="none"/>
        </w:rPr>
        <w:t>后的第〖1〗个</w:t>
      </w:r>
      <w:r>
        <w:rPr>
          <w:rFonts w:hint="eastAsia" w:ascii="宋体" w:hAnsi="宋体" w:cs="宋体"/>
          <w:bCs/>
          <w:sz w:val="24"/>
          <w:highlight w:val="none"/>
          <w:lang w:val="en-US" w:eastAsia="zh-CN"/>
        </w:rPr>
        <w:t>交易</w:t>
      </w:r>
      <w:r>
        <w:rPr>
          <w:rFonts w:hint="eastAsia" w:ascii="宋体" w:hAnsi="宋体" w:cs="宋体"/>
          <w:bCs/>
          <w:sz w:val="24"/>
          <w:highlight w:val="none"/>
        </w:rPr>
        <w:t>日进行确认。</w:t>
      </w:r>
    </w:p>
    <w:p>
      <w:pPr>
        <w:numPr>
          <w:ilvl w:val="0"/>
          <w:numId w:val="49"/>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val="en-US" w:eastAsia="zh-CN"/>
        </w:rPr>
        <w:t>满足赎回条件后，</w:t>
      </w:r>
      <w:r>
        <w:rPr>
          <w:rFonts w:hint="eastAsia" w:ascii="宋体" w:hAnsi="宋体" w:cs="宋体"/>
          <w:bCs/>
          <w:sz w:val="24"/>
          <w:highlight w:val="none"/>
        </w:rPr>
        <w:t>本理财计划在每个开放期的工作时间可进行赎回</w:t>
      </w:r>
      <w:r>
        <w:rPr>
          <w:rFonts w:hint="eastAsia" w:ascii="宋体" w:hAnsi="宋体" w:cs="宋体"/>
          <w:bCs/>
          <w:sz w:val="24"/>
          <w:highlight w:val="none"/>
          <w:lang w:val="en-US" w:eastAsia="zh-CN"/>
        </w:rPr>
        <w:t>和撤单</w:t>
      </w:r>
      <w:r>
        <w:rPr>
          <w:rFonts w:hint="eastAsia" w:ascii="宋体" w:hAnsi="宋体" w:cs="宋体"/>
          <w:bCs/>
          <w:sz w:val="24"/>
          <w:highlight w:val="none"/>
        </w:rPr>
        <w:t>，赎回申请将在确认日进行确认，即赎回</w:t>
      </w:r>
      <w:r>
        <w:rPr>
          <w:rFonts w:hint="eastAsia" w:ascii="宋体" w:hAnsi="宋体" w:cs="宋体"/>
          <w:bCs/>
          <w:sz w:val="24"/>
          <w:highlight w:val="none"/>
          <w:lang w:val="en-US" w:eastAsia="zh-CN"/>
        </w:rPr>
        <w:t>申请日</w:t>
      </w:r>
      <w:r>
        <w:rPr>
          <w:rFonts w:hint="eastAsia" w:ascii="宋体" w:hAnsi="宋体" w:cs="宋体"/>
          <w:bCs/>
          <w:sz w:val="24"/>
          <w:highlight w:val="none"/>
        </w:rPr>
        <w:t>后的第〖1〗个</w:t>
      </w:r>
      <w:r>
        <w:rPr>
          <w:rFonts w:hint="eastAsia" w:ascii="宋体" w:hAnsi="宋体" w:cs="宋体"/>
          <w:bCs/>
          <w:sz w:val="24"/>
          <w:highlight w:val="none"/>
          <w:lang w:val="en-US" w:eastAsia="zh-CN"/>
        </w:rPr>
        <w:t>交易</w:t>
      </w:r>
      <w:r>
        <w:rPr>
          <w:rFonts w:hint="eastAsia" w:ascii="宋体" w:hAnsi="宋体" w:cs="宋体"/>
          <w:bCs/>
          <w:sz w:val="24"/>
          <w:highlight w:val="none"/>
        </w:rPr>
        <w:t>日进行确认。</w:t>
      </w:r>
    </w:p>
    <w:p>
      <w:pPr>
        <w:numPr>
          <w:ilvl w:val="0"/>
          <w:numId w:val="49"/>
        </w:numPr>
        <w:spacing w:line="360" w:lineRule="auto"/>
        <w:ind w:firstLine="480" w:firstLineChars="200"/>
        <w:jc w:val="left"/>
        <w:rPr>
          <w:rFonts w:ascii="宋体" w:hAnsi="宋体" w:cs="宋体"/>
          <w:bCs/>
          <w:sz w:val="24"/>
          <w:highlight w:val="none"/>
        </w:rPr>
      </w:pPr>
      <w:r>
        <w:rPr>
          <w:rFonts w:hint="eastAsia" w:ascii="宋体" w:hAnsi="宋体" w:cs="宋体"/>
          <w:bCs/>
          <w:highlight w:val="none"/>
        </w:rPr>
        <w:t>在交易日的</w:t>
      </w:r>
      <w:r>
        <w:rPr>
          <w:rFonts w:hint="eastAsia" w:ascii="宋体" w:hAnsi="宋体" w:cs="宋体"/>
          <w:bCs/>
          <w:highlight w:val="none"/>
          <w:lang w:eastAsia="zh-CN"/>
        </w:rPr>
        <w:t>1</w:t>
      </w:r>
      <w:r>
        <w:rPr>
          <w:rFonts w:hint="eastAsia" w:ascii="宋体" w:hAnsi="宋体" w:cs="宋体"/>
          <w:bCs/>
          <w:highlight w:val="none"/>
          <w:lang w:val="en-US" w:eastAsia="zh-CN"/>
        </w:rPr>
        <w:t>7</w:t>
      </w:r>
      <w:r>
        <w:rPr>
          <w:rFonts w:hint="eastAsia" w:ascii="宋体" w:hAnsi="宋体" w:cs="宋体"/>
          <w:bCs/>
          <w:highlight w:val="none"/>
          <w:lang w:eastAsia="zh-CN"/>
        </w:rPr>
        <w:t>：</w:t>
      </w:r>
      <w:r>
        <w:rPr>
          <w:rFonts w:hint="eastAsia" w:ascii="宋体" w:hAnsi="宋体" w:cs="宋体"/>
          <w:bCs/>
          <w:highlight w:val="none"/>
          <w:lang w:val="en-US" w:eastAsia="zh-CN"/>
        </w:rPr>
        <w:t>00</w:t>
      </w:r>
      <w:r>
        <w:rPr>
          <w:rFonts w:hint="eastAsia" w:ascii="宋体" w:hAnsi="宋体" w:cs="宋体"/>
          <w:bCs/>
          <w:highlight w:val="none"/>
        </w:rPr>
        <w:t>之前提交的申购和赎回申请，申请日为提出申请当日；在交易日</w:t>
      </w:r>
      <w:r>
        <w:rPr>
          <w:rFonts w:hint="eastAsia" w:ascii="宋体" w:hAnsi="宋体" w:cs="宋体"/>
          <w:bCs/>
          <w:highlight w:val="none"/>
          <w:lang w:eastAsia="zh-CN"/>
        </w:rPr>
        <w:t>1</w:t>
      </w:r>
      <w:r>
        <w:rPr>
          <w:rFonts w:hint="eastAsia" w:ascii="宋体" w:hAnsi="宋体" w:cs="宋体"/>
          <w:bCs/>
          <w:highlight w:val="none"/>
          <w:lang w:val="en-US" w:eastAsia="zh-CN"/>
        </w:rPr>
        <w:t>7</w:t>
      </w:r>
      <w:r>
        <w:rPr>
          <w:rFonts w:hint="eastAsia" w:ascii="宋体" w:hAnsi="宋体" w:cs="宋体"/>
          <w:bCs/>
          <w:highlight w:val="none"/>
          <w:lang w:eastAsia="zh-CN"/>
        </w:rPr>
        <w:t>：</w:t>
      </w:r>
      <w:r>
        <w:rPr>
          <w:rFonts w:hint="eastAsia" w:ascii="宋体" w:hAnsi="宋体" w:cs="宋体"/>
          <w:bCs/>
          <w:highlight w:val="none"/>
          <w:lang w:val="en-US" w:eastAsia="zh-CN"/>
        </w:rPr>
        <w:t>00</w:t>
      </w:r>
      <w:r>
        <w:rPr>
          <w:rFonts w:hint="eastAsia" w:ascii="宋体" w:hAnsi="宋体" w:cs="宋体"/>
          <w:bCs/>
          <w:highlight w:val="none"/>
        </w:rPr>
        <w:t>之后及非交易日提交的申购和赎回申请，申请日为提出申请日的下一交易日。</w:t>
      </w:r>
    </w:p>
    <w:p>
      <w:pPr>
        <w:numPr>
          <w:ilvl w:val="0"/>
          <w:numId w:val="49"/>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工作时间为每个</w:t>
      </w:r>
      <w:r>
        <w:rPr>
          <w:rFonts w:hint="eastAsia" w:ascii="宋体" w:hAnsi="宋体" w:cs="宋体"/>
          <w:bCs/>
          <w:sz w:val="24"/>
          <w:highlight w:val="none"/>
          <w:lang w:val="en-US" w:eastAsia="zh-CN"/>
        </w:rPr>
        <w:t>交易</w:t>
      </w:r>
      <w:r>
        <w:rPr>
          <w:rFonts w:hint="eastAsia" w:ascii="宋体" w:hAnsi="宋体" w:cs="宋体"/>
          <w:bCs/>
          <w:sz w:val="24"/>
          <w:highlight w:val="none"/>
        </w:rPr>
        <w:t>日上午〖9:00〗至下午〖1</w:t>
      </w:r>
      <w:r>
        <w:rPr>
          <w:rFonts w:hint="eastAsia" w:ascii="宋体" w:hAnsi="宋体" w:cs="宋体"/>
          <w:bCs/>
          <w:sz w:val="24"/>
          <w:highlight w:val="none"/>
          <w:lang w:val="en-US" w:eastAsia="zh-CN"/>
        </w:rPr>
        <w:t>7</w:t>
      </w:r>
      <w:r>
        <w:rPr>
          <w:rFonts w:hint="eastAsia" w:ascii="宋体" w:hAnsi="宋体" w:cs="宋体"/>
          <w:bCs/>
          <w:sz w:val="24"/>
          <w:highlight w:val="none"/>
        </w:rPr>
        <w:t>:</w:t>
      </w:r>
      <w:r>
        <w:rPr>
          <w:rFonts w:hint="eastAsia" w:ascii="宋体" w:hAnsi="宋体" w:cs="宋体"/>
          <w:bCs/>
          <w:sz w:val="24"/>
          <w:highlight w:val="none"/>
          <w:lang w:val="en-US" w:eastAsia="zh-CN"/>
        </w:rPr>
        <w:t>00</w:t>
      </w:r>
      <w:r>
        <w:rPr>
          <w:rFonts w:hint="eastAsia" w:ascii="宋体" w:hAnsi="宋体" w:cs="宋体"/>
          <w:bCs/>
          <w:sz w:val="24"/>
          <w:highlight w:val="none"/>
        </w:rPr>
        <w:t>〗。</w:t>
      </w:r>
      <w:r>
        <w:rPr>
          <w:rFonts w:hint="eastAsia" w:ascii="宋体" w:hAnsi="宋体" w:cs="宋体"/>
          <w:color w:val="000000"/>
          <w:kern w:val="0"/>
          <w:sz w:val="24"/>
          <w:szCs w:val="24"/>
          <w:highlight w:val="none"/>
        </w:rPr>
        <w:t>（具体以销售机构</w:t>
      </w:r>
      <w:r>
        <w:rPr>
          <w:rFonts w:hint="eastAsia" w:ascii="宋体" w:hAnsi="宋体" w:cs="宋体"/>
          <w:color w:val="000000"/>
          <w:kern w:val="0"/>
          <w:sz w:val="24"/>
          <w:szCs w:val="24"/>
          <w:highlight w:val="none"/>
          <w:lang w:val="en-US" w:eastAsia="zh-CN"/>
        </w:rPr>
        <w:t>销售要素</w:t>
      </w:r>
      <w:r>
        <w:rPr>
          <w:rFonts w:hint="eastAsia" w:ascii="宋体" w:hAnsi="宋体" w:cs="宋体"/>
          <w:color w:val="000000"/>
          <w:kern w:val="0"/>
          <w:sz w:val="24"/>
          <w:szCs w:val="24"/>
          <w:highlight w:val="none"/>
        </w:rPr>
        <w:t>为准）</w:t>
      </w:r>
    </w:p>
    <w:p>
      <w:pPr>
        <w:numPr>
          <w:ilvl w:val="0"/>
          <w:numId w:val="49"/>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eastAsia="zh-CN"/>
        </w:rPr>
        <w:t>如</w:t>
      </w:r>
      <w:r>
        <w:rPr>
          <w:rFonts w:hint="eastAsia" w:ascii="宋体" w:hAnsi="宋体" w:cs="宋体"/>
          <w:bCs/>
          <w:color w:val="000000"/>
          <w:sz w:val="24"/>
          <w:highlight w:val="none"/>
          <w:lang w:eastAsia="zh-CN"/>
        </w:rPr>
        <w:t>新增申</w:t>
      </w:r>
      <w:r>
        <w:rPr>
          <w:rFonts w:hint="eastAsia" w:ascii="宋体" w:hAnsi="宋体" w:cs="宋体"/>
          <w:bCs/>
          <w:color w:val="000000"/>
          <w:sz w:val="24"/>
          <w:highlight w:val="none"/>
          <w:lang w:val="en-US" w:eastAsia="zh-CN"/>
        </w:rPr>
        <w:t>购使得单一投资者持有份额比例超过50％，管理人将不再接受超出部分的申购申请。非因投资管理人主观因素导致突破前款规定比例限制的，在单一投资者持有比例降至50％以下之前，管理人将不再接受该投资者对该理财产品的申购申请。投资者持有份额的计算以管理人登记为准。</w:t>
      </w:r>
    </w:p>
    <w:p>
      <w:pPr>
        <w:numPr>
          <w:ilvl w:val="0"/>
          <w:numId w:val="48"/>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到账时间</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赎回资金确认后，最快</w:t>
      </w:r>
      <w:r>
        <w:rPr>
          <w:rFonts w:hint="eastAsia" w:ascii="宋体" w:hAnsi="宋体" w:cs="宋体"/>
          <w:bCs/>
          <w:sz w:val="24"/>
          <w:highlight w:val="none"/>
          <w:lang w:val="en-US" w:eastAsia="zh-CN"/>
        </w:rPr>
        <w:t>于确认日当</w:t>
      </w:r>
      <w:r>
        <w:rPr>
          <w:rFonts w:hint="eastAsia" w:ascii="宋体" w:hAnsi="宋体" w:cs="宋体"/>
          <w:bCs/>
          <w:sz w:val="24"/>
          <w:highlight w:val="none"/>
        </w:rPr>
        <w:t>日，最晚</w:t>
      </w:r>
      <w:r>
        <w:rPr>
          <w:rFonts w:hint="eastAsia" w:ascii="宋体" w:hAnsi="宋体" w:cs="宋体"/>
          <w:bCs/>
          <w:sz w:val="24"/>
          <w:highlight w:val="none"/>
          <w:lang w:val="en-US" w:eastAsia="zh-CN"/>
        </w:rPr>
        <w:t>于确认日后</w:t>
      </w:r>
      <w:r>
        <w:rPr>
          <w:rFonts w:hint="eastAsia" w:ascii="宋体" w:hAnsi="宋体" w:cs="宋体"/>
          <w:bCs/>
          <w:sz w:val="24"/>
          <w:highlight w:val="none"/>
        </w:rPr>
        <w:t>〖</w:t>
      </w:r>
      <w:r>
        <w:rPr>
          <w:rFonts w:hint="eastAsia" w:ascii="宋体" w:hAnsi="宋体" w:cs="宋体"/>
          <w:bCs/>
          <w:sz w:val="24"/>
          <w:highlight w:val="none"/>
          <w:lang w:val="en-US" w:eastAsia="zh-CN"/>
        </w:rPr>
        <w:t>2</w:t>
      </w:r>
      <w:r>
        <w:rPr>
          <w:rFonts w:hint="eastAsia" w:ascii="宋体" w:hAnsi="宋体" w:cs="宋体"/>
          <w:bCs/>
          <w:sz w:val="24"/>
          <w:highlight w:val="none"/>
        </w:rPr>
        <w:t>〗个</w:t>
      </w:r>
      <w:r>
        <w:rPr>
          <w:rFonts w:hint="eastAsia" w:ascii="宋体" w:hAnsi="宋体" w:cs="宋体"/>
          <w:bCs/>
          <w:sz w:val="24"/>
          <w:highlight w:val="none"/>
          <w:lang w:val="en-US" w:eastAsia="zh-CN"/>
        </w:rPr>
        <w:t>交易</w:t>
      </w:r>
      <w:r>
        <w:rPr>
          <w:rFonts w:hint="eastAsia" w:ascii="宋体" w:hAnsi="宋体" w:cs="宋体"/>
          <w:bCs/>
          <w:sz w:val="24"/>
          <w:highlight w:val="none"/>
        </w:rPr>
        <w:t>日内（遇节假日顺延）理财资金与收益将一次性支付。如遇资金在途或法定工作日调整，实际资金到账日以公告为准。</w:t>
      </w:r>
      <w:r>
        <w:rPr>
          <w:rFonts w:hint="eastAsia" w:ascii="宋体" w:hAnsi="宋体" w:cs="宋体"/>
          <w:color w:val="000000"/>
          <w:kern w:val="0"/>
          <w:sz w:val="24"/>
          <w:szCs w:val="24"/>
          <w:highlight w:val="none"/>
        </w:rPr>
        <w:t>（具体以销售机构规定为准）</w:t>
      </w:r>
    </w:p>
    <w:p>
      <w:pPr>
        <w:numPr>
          <w:ilvl w:val="0"/>
          <w:numId w:val="48"/>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巨额赎回处理</w:t>
      </w:r>
    </w:p>
    <w:p>
      <w:pPr>
        <w:numPr>
          <w:ilvl w:val="0"/>
          <w:numId w:val="50"/>
        </w:num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巨额赎回认定</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理财计划存续期内，若理财计划开放日净赎回申请份额超过上一日日终理财计划总份额〖10%〗时，即构成巨额赎回。</w:t>
      </w:r>
    </w:p>
    <w:p>
      <w:pPr>
        <w:numPr>
          <w:ilvl w:val="0"/>
          <w:numId w:val="5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巨额赎回处理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ascii="宋体" w:hAnsi="宋体" w:cs="宋体"/>
          <w:bCs/>
          <w:sz w:val="24"/>
          <w:highlight w:val="none"/>
        </w:rPr>
      </w:pPr>
      <w:r>
        <w:rPr>
          <w:rFonts w:hint="eastAsia" w:ascii="宋体" w:hAnsi="宋体" w:cs="宋体"/>
          <w:bCs/>
          <w:sz w:val="24"/>
          <w:highlight w:val="none"/>
        </w:rPr>
        <w:t>当出现巨额赎回时，管理人可以根据资产组合状况决定采取全额赎回或拒绝超出部分的赎回申请。</w:t>
      </w:r>
      <w:r>
        <w:rPr>
          <w:rFonts w:hint="eastAsia" w:ascii="宋体" w:hAnsi="宋体" w:cs="宋体"/>
          <w:bCs/>
          <w:sz w:val="24"/>
          <w:highlight w:val="none"/>
          <w:lang w:val="en-US" w:eastAsia="zh-CN"/>
        </w:rPr>
        <w:t>如连续2日（含）以上开放日发生巨额赎回，对于已经接受的赎回申请，管理人可以延缓支付赎回款项，但延缓期限不得超过20个工作日。</w:t>
      </w:r>
    </w:p>
    <w:p>
      <w:pPr>
        <w:numPr>
          <w:ilvl w:val="0"/>
          <w:numId w:val="5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全部赎回</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当管理人认为全额兑付投资者的赎回申请将不会对本理财计划净值造成较大波动或给本理财计划造成重大损失时，按正常赎回程序执行。</w:t>
      </w:r>
    </w:p>
    <w:p>
      <w:pPr>
        <w:numPr>
          <w:ilvl w:val="0"/>
          <w:numId w:val="5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拒绝超出部分的赎回申请</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当管理人认为全部满足投资者的赎回申请可能会对本理财计划造成重大损失或可能会对理财计划净值造成较大波动时，在当日接受赎回比例不低于理财计划上一确认日日终总份额的〖10%〗的前提下，对其余赎回申请予以拒绝，但投资者可于下一赎回开放期重新进行赎回申请。</w:t>
      </w:r>
    </w:p>
    <w:p>
      <w:pPr>
        <w:numPr>
          <w:ilvl w:val="0"/>
          <w:numId w:val="50"/>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eastAsia="zh-CN"/>
        </w:rPr>
        <w:t>在</w:t>
      </w:r>
      <w:r>
        <w:rPr>
          <w:rFonts w:hint="eastAsia" w:ascii="宋体" w:hAnsi="宋体" w:cs="宋体"/>
          <w:bCs/>
          <w:sz w:val="24"/>
          <w:highlight w:val="none"/>
        </w:rPr>
        <w:t>理财计划存续期内，管理人有权根据市场情况调整巨额赎回金额比例，并及时进行对外公告。</w:t>
      </w:r>
    </w:p>
    <w:p>
      <w:pPr>
        <w:numPr>
          <w:ilvl w:val="0"/>
          <w:numId w:val="48"/>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eastAsia="zh-CN"/>
        </w:rPr>
        <w:t>暂停申购、赎回及延期支付赎回的情形</w:t>
      </w:r>
    </w:p>
    <w:p>
      <w:p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发生以下情形，管理人可暂停接受全部或部分投资者的申购申请：</w:t>
      </w:r>
    </w:p>
    <w:p>
      <w:pPr>
        <w:numPr>
          <w:ilvl w:val="0"/>
          <w:numId w:val="51"/>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w:t>
      </w:r>
      <w:r>
        <w:rPr>
          <w:rFonts w:hint="eastAsia" w:ascii="宋体" w:hAnsi="宋体" w:cs="宋体"/>
          <w:bCs/>
          <w:sz w:val="24"/>
          <w:highlight w:val="none"/>
          <w:lang w:val="en-US" w:eastAsia="zh-CN"/>
        </w:rPr>
        <w:t>资产规模过大，继续接受申购可能对理财计划业绩产生负面影响，从而损害现有份额持有人利益的情形时</w:t>
      </w:r>
      <w:r>
        <w:rPr>
          <w:rFonts w:hint="eastAsia" w:ascii="宋体" w:hAnsi="宋体" w:cs="宋体"/>
          <w:bCs/>
          <w:sz w:val="24"/>
          <w:highlight w:val="none"/>
        </w:rPr>
        <w:t>。</w:t>
      </w:r>
    </w:p>
    <w:p>
      <w:pPr>
        <w:numPr>
          <w:ilvl w:val="0"/>
          <w:numId w:val="51"/>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eastAsia="zh-CN"/>
        </w:rPr>
        <w:t>当</w:t>
      </w:r>
      <w:r>
        <w:rPr>
          <w:rFonts w:hint="eastAsia" w:ascii="宋体" w:hAnsi="宋体" w:cs="宋体"/>
          <w:bCs/>
          <w:sz w:val="24"/>
          <w:highlight w:val="none"/>
          <w:lang w:val="en-US" w:eastAsia="zh-CN"/>
        </w:rPr>
        <w:t>管理人认为某笔申购申请会有损于其他份额持有人利益的情形时。</w:t>
      </w:r>
    </w:p>
    <w:p>
      <w:pPr>
        <w:numPr>
          <w:ilvl w:val="0"/>
          <w:numId w:val="51"/>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eastAsia="zh-CN"/>
        </w:rPr>
        <w:t>发生产品说明书约定的暂停估值的情形时。</w:t>
      </w:r>
    </w:p>
    <w:p>
      <w:pPr>
        <w:numPr>
          <w:ilvl w:val="0"/>
          <w:numId w:val="51"/>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eastAsia="zh-CN"/>
        </w:rPr>
        <w:t>法律</w:t>
      </w:r>
      <w:r>
        <w:rPr>
          <w:rFonts w:hint="eastAsia" w:ascii="宋体" w:hAnsi="宋体" w:cs="宋体"/>
          <w:bCs/>
          <w:sz w:val="24"/>
          <w:highlight w:val="none"/>
          <w:lang w:val="en-US" w:eastAsia="zh-CN"/>
        </w:rPr>
        <w:t>法规规定或监管机构认定的其他情形。</w:t>
      </w:r>
    </w:p>
    <w:p>
      <w:p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发生以下情形，对超出前一日终理财产品总份额10%的赎回申请，管理人可暂停接受全部或部分、延期办理投资者的赎回申请：</w:t>
      </w:r>
    </w:p>
    <w:p>
      <w:pPr>
        <w:numPr>
          <w:ilvl w:val="0"/>
          <w:numId w:val="52"/>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val="en-US" w:eastAsia="zh-CN"/>
        </w:rPr>
        <w:t>理财计划发生巨额赎回情形时。</w:t>
      </w:r>
    </w:p>
    <w:p>
      <w:pPr>
        <w:numPr>
          <w:ilvl w:val="0"/>
          <w:numId w:val="52"/>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val="en-US" w:eastAsia="zh-CN"/>
        </w:rPr>
        <w:t>当继续</w:t>
      </w:r>
      <w:r>
        <w:rPr>
          <w:rFonts w:hint="default" w:ascii="宋体" w:hAnsi="宋体" w:cs="宋体"/>
          <w:bCs/>
          <w:sz w:val="24"/>
          <w:highlight w:val="none"/>
          <w:lang w:val="en-US" w:eastAsia="zh-CN"/>
        </w:rPr>
        <w:t>接受赎回申请将损害存量投资者利益的情形</w:t>
      </w:r>
      <w:r>
        <w:rPr>
          <w:rFonts w:hint="eastAsia" w:ascii="宋体" w:hAnsi="宋体" w:cs="宋体"/>
          <w:bCs/>
          <w:sz w:val="24"/>
          <w:highlight w:val="none"/>
          <w:lang w:val="en-US" w:eastAsia="zh-CN"/>
        </w:rPr>
        <w:t>时。</w:t>
      </w:r>
    </w:p>
    <w:p>
      <w:pPr>
        <w:numPr>
          <w:ilvl w:val="0"/>
          <w:numId w:val="52"/>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val="en-US" w:eastAsia="zh-CN"/>
        </w:rPr>
        <w:t>当</w:t>
      </w:r>
      <w:r>
        <w:rPr>
          <w:rFonts w:hint="default" w:ascii="宋体" w:hAnsi="宋体" w:cs="宋体"/>
          <w:bCs/>
          <w:sz w:val="24"/>
          <w:highlight w:val="none"/>
          <w:lang w:val="en-US" w:eastAsia="zh-CN"/>
        </w:rPr>
        <w:t>前一估值日</w:t>
      </w:r>
      <w:r>
        <w:rPr>
          <w:rFonts w:hint="eastAsia" w:ascii="宋体" w:hAnsi="宋体" w:cs="宋体"/>
          <w:bCs/>
          <w:sz w:val="24"/>
          <w:highlight w:val="none"/>
          <w:lang w:val="en-US" w:eastAsia="zh-CN"/>
        </w:rPr>
        <w:t>理财计划</w:t>
      </w:r>
      <w:r>
        <w:rPr>
          <w:rFonts w:hint="default" w:ascii="宋体" w:hAnsi="宋体" w:cs="宋体"/>
          <w:bCs/>
          <w:sz w:val="24"/>
          <w:highlight w:val="none"/>
          <w:lang w:val="en-US" w:eastAsia="zh-CN"/>
        </w:rPr>
        <w:t>资产净值50%以上的资产不具备活跃交易市场或者在活跃市场中无报价，且不能采用估值技术可靠计量公允价值</w:t>
      </w:r>
      <w:r>
        <w:rPr>
          <w:rFonts w:hint="eastAsia" w:ascii="宋体" w:hAnsi="宋体" w:cs="宋体"/>
          <w:bCs/>
          <w:sz w:val="24"/>
          <w:highlight w:val="none"/>
          <w:lang w:val="en-US" w:eastAsia="zh-CN"/>
        </w:rPr>
        <w:t>的情形</w:t>
      </w:r>
      <w:r>
        <w:rPr>
          <w:rFonts w:hint="default" w:ascii="宋体" w:hAnsi="宋体" w:cs="宋体"/>
          <w:bCs/>
          <w:sz w:val="24"/>
          <w:highlight w:val="none"/>
          <w:lang w:val="en-US" w:eastAsia="zh-CN"/>
        </w:rPr>
        <w:t>时</w:t>
      </w:r>
      <w:r>
        <w:rPr>
          <w:rFonts w:hint="eastAsia" w:ascii="宋体" w:hAnsi="宋体" w:cs="宋体"/>
          <w:bCs/>
          <w:sz w:val="24"/>
          <w:highlight w:val="none"/>
          <w:lang w:val="en-US" w:eastAsia="zh-CN"/>
        </w:rPr>
        <w:t>。</w:t>
      </w:r>
    </w:p>
    <w:p>
      <w:pPr>
        <w:numPr>
          <w:ilvl w:val="0"/>
          <w:numId w:val="52"/>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val="en-US" w:eastAsia="zh-CN"/>
        </w:rPr>
        <w:t>发生</w:t>
      </w:r>
      <w:r>
        <w:rPr>
          <w:rFonts w:hint="eastAsia" w:ascii="宋体" w:hAnsi="宋体" w:cs="宋体"/>
          <w:bCs/>
          <w:sz w:val="24"/>
          <w:highlight w:val="none"/>
          <w:lang w:eastAsia="zh-CN"/>
        </w:rPr>
        <w:t>产品说明书约定的暂停估值的情形时。</w:t>
      </w:r>
    </w:p>
    <w:p>
      <w:pPr>
        <w:numPr>
          <w:ilvl w:val="0"/>
          <w:numId w:val="52"/>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eastAsia="zh-CN"/>
        </w:rPr>
        <w:t>法律</w:t>
      </w:r>
      <w:r>
        <w:rPr>
          <w:rFonts w:hint="eastAsia" w:ascii="宋体" w:hAnsi="宋体" w:cs="宋体"/>
          <w:bCs/>
          <w:sz w:val="24"/>
          <w:highlight w:val="none"/>
          <w:lang w:val="en-US" w:eastAsia="zh-CN"/>
        </w:rPr>
        <w:t>法规规定或监管机构认定的其他情形。</w:t>
      </w:r>
    </w:p>
    <w:p>
      <w:p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发生以下情形，管理人对已接受的赎回申请，可延期支付赎回款项：</w:t>
      </w:r>
    </w:p>
    <w:p>
      <w:pPr>
        <w:numPr>
          <w:ilvl w:val="0"/>
          <w:numId w:val="53"/>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eastAsia="zh-CN"/>
        </w:rPr>
        <w:t>因</w:t>
      </w:r>
      <w:r>
        <w:rPr>
          <w:rFonts w:hint="eastAsia" w:ascii="宋体" w:hAnsi="宋体" w:cs="宋体"/>
          <w:bCs/>
          <w:sz w:val="24"/>
          <w:highlight w:val="none"/>
          <w:lang w:val="en-US" w:eastAsia="zh-CN"/>
        </w:rPr>
        <w:t>不可抗力等原因，导致管理人接受赎回申请后无法及时兑付的情形时。</w:t>
      </w:r>
    </w:p>
    <w:p>
      <w:pPr>
        <w:numPr>
          <w:ilvl w:val="0"/>
          <w:numId w:val="53"/>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val="en-US" w:eastAsia="zh-CN"/>
        </w:rPr>
        <w:t>连续</w:t>
      </w:r>
      <w:r>
        <w:rPr>
          <w:rFonts w:hint="default" w:ascii="宋体" w:hAnsi="宋体" w:cs="宋体"/>
          <w:bCs/>
          <w:sz w:val="24"/>
          <w:highlight w:val="none"/>
          <w:lang w:val="en-US" w:eastAsia="zh-CN"/>
        </w:rPr>
        <w:t>2</w:t>
      </w:r>
      <w:r>
        <w:rPr>
          <w:rFonts w:hint="eastAsia" w:ascii="宋体" w:hAnsi="宋体" w:cs="宋体"/>
          <w:bCs/>
          <w:sz w:val="24"/>
          <w:highlight w:val="none"/>
          <w:lang w:val="en-US" w:eastAsia="zh-CN"/>
        </w:rPr>
        <w:t>日</w:t>
      </w:r>
      <w:r>
        <w:rPr>
          <w:rFonts w:hint="default" w:ascii="宋体" w:hAnsi="宋体" w:cs="宋体"/>
          <w:bCs/>
          <w:sz w:val="24"/>
          <w:highlight w:val="none"/>
          <w:lang w:val="en-US" w:eastAsia="zh-CN"/>
        </w:rPr>
        <w:t>（含）以上开放日发生巨额赎回的</w:t>
      </w:r>
      <w:r>
        <w:rPr>
          <w:rFonts w:hint="eastAsia" w:ascii="宋体" w:hAnsi="宋体" w:cs="宋体"/>
          <w:bCs/>
          <w:sz w:val="24"/>
          <w:highlight w:val="none"/>
          <w:lang w:val="en-US" w:eastAsia="zh-CN"/>
        </w:rPr>
        <w:t>情形时。</w:t>
      </w:r>
    </w:p>
    <w:p>
      <w:pPr>
        <w:numPr>
          <w:ilvl w:val="0"/>
          <w:numId w:val="53"/>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val="en-US" w:eastAsia="zh-CN"/>
        </w:rPr>
        <w:t>当前</w:t>
      </w:r>
      <w:r>
        <w:rPr>
          <w:rFonts w:hint="default" w:ascii="宋体" w:hAnsi="宋体" w:cs="宋体"/>
          <w:bCs/>
          <w:sz w:val="24"/>
          <w:highlight w:val="none"/>
          <w:lang w:val="en-US" w:eastAsia="zh-CN"/>
        </w:rPr>
        <w:t>一估值日</w:t>
      </w:r>
      <w:r>
        <w:rPr>
          <w:rFonts w:hint="eastAsia" w:ascii="宋体" w:hAnsi="宋体" w:cs="宋体"/>
          <w:bCs/>
          <w:sz w:val="24"/>
          <w:highlight w:val="none"/>
          <w:lang w:val="en-US" w:eastAsia="zh-CN"/>
        </w:rPr>
        <w:t>理财计划</w:t>
      </w:r>
      <w:r>
        <w:rPr>
          <w:rFonts w:hint="default" w:ascii="宋体" w:hAnsi="宋体" w:cs="宋体"/>
          <w:bCs/>
          <w:sz w:val="24"/>
          <w:highlight w:val="none"/>
          <w:lang w:val="en-US" w:eastAsia="zh-CN"/>
        </w:rPr>
        <w:t>资产净值50%以上的资产不具备活跃交易市场或者在活跃市场中无报价，且不能采用估值技术可靠计量公允价值</w:t>
      </w:r>
      <w:r>
        <w:rPr>
          <w:rFonts w:hint="eastAsia" w:ascii="宋体" w:hAnsi="宋体" w:cs="宋体"/>
          <w:bCs/>
          <w:sz w:val="24"/>
          <w:highlight w:val="none"/>
          <w:lang w:val="en-US" w:eastAsia="zh-CN"/>
        </w:rPr>
        <w:t>的情形</w:t>
      </w:r>
      <w:r>
        <w:rPr>
          <w:rFonts w:hint="default" w:ascii="宋体" w:hAnsi="宋体" w:cs="宋体"/>
          <w:bCs/>
          <w:sz w:val="24"/>
          <w:highlight w:val="none"/>
          <w:lang w:val="en-US" w:eastAsia="zh-CN"/>
        </w:rPr>
        <w:t>时</w:t>
      </w:r>
      <w:r>
        <w:rPr>
          <w:rFonts w:hint="eastAsia" w:ascii="宋体" w:hAnsi="宋体" w:cs="宋体"/>
          <w:bCs/>
          <w:sz w:val="24"/>
          <w:highlight w:val="none"/>
          <w:lang w:val="en-US" w:eastAsia="zh-CN"/>
        </w:rPr>
        <w:t>。</w:t>
      </w:r>
    </w:p>
    <w:p>
      <w:pPr>
        <w:numPr>
          <w:ilvl w:val="0"/>
          <w:numId w:val="53"/>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lang w:val="en-US" w:eastAsia="zh-CN"/>
        </w:rPr>
        <w:t>法律法规规定或监管机构认定的其他情形。</w:t>
      </w:r>
    </w:p>
    <w:p>
      <w:pPr>
        <w:numPr>
          <w:ilvl w:val="0"/>
          <w:numId w:val="45"/>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到期清算</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cs="宋体"/>
          <w:bCs/>
          <w:sz w:val="24"/>
          <w:highlight w:val="none"/>
          <w:lang w:val="en-US" w:eastAsia="zh-CN"/>
        </w:rPr>
        <w:t>于到期日后</w:t>
      </w:r>
      <w:r>
        <w:rPr>
          <w:rFonts w:hint="eastAsia" w:ascii="宋体" w:hAnsi="宋体" w:cs="宋体"/>
          <w:bCs/>
          <w:sz w:val="24"/>
          <w:highlight w:val="none"/>
        </w:rPr>
        <w:t>〖</w:t>
      </w:r>
      <w:r>
        <w:rPr>
          <w:rFonts w:hint="eastAsia" w:ascii="宋体" w:hAnsi="宋体" w:cs="宋体"/>
          <w:bCs/>
          <w:sz w:val="24"/>
          <w:highlight w:val="none"/>
          <w:lang w:val="en-US" w:eastAsia="zh-CN"/>
        </w:rPr>
        <w:t>1</w:t>
      </w:r>
      <w:r>
        <w:rPr>
          <w:rFonts w:hint="eastAsia" w:ascii="宋体" w:hAnsi="宋体" w:cs="宋体"/>
          <w:bCs/>
          <w:sz w:val="24"/>
          <w:highlight w:val="none"/>
        </w:rPr>
        <w:t>〗个</w:t>
      </w:r>
      <w:r>
        <w:rPr>
          <w:rFonts w:hint="eastAsia" w:ascii="宋体" w:hAnsi="宋体" w:cs="宋体"/>
          <w:bCs/>
          <w:sz w:val="24"/>
          <w:highlight w:val="none"/>
          <w:lang w:val="en-US" w:eastAsia="zh-CN"/>
        </w:rPr>
        <w:t>交易</w:t>
      </w:r>
      <w:r>
        <w:rPr>
          <w:rFonts w:hint="eastAsia" w:ascii="宋体" w:hAnsi="宋体" w:cs="宋体"/>
          <w:bCs/>
          <w:sz w:val="24"/>
          <w:highlight w:val="none"/>
        </w:rPr>
        <w:t>日、最晚</w:t>
      </w:r>
      <w:r>
        <w:rPr>
          <w:rFonts w:hint="eastAsia" w:ascii="宋体" w:hAnsi="宋体" w:cs="宋体"/>
          <w:bCs/>
          <w:sz w:val="24"/>
          <w:highlight w:val="none"/>
          <w:lang w:val="en-US" w:eastAsia="zh-CN"/>
        </w:rPr>
        <w:t>于到期日后</w:t>
      </w:r>
      <w:r>
        <w:rPr>
          <w:rFonts w:hint="eastAsia" w:ascii="宋体" w:hAnsi="宋体" w:cs="宋体"/>
          <w:bCs/>
          <w:sz w:val="24"/>
          <w:highlight w:val="none"/>
        </w:rPr>
        <w:t>〖</w:t>
      </w:r>
      <w:r>
        <w:rPr>
          <w:rFonts w:hint="eastAsia" w:ascii="宋体" w:hAnsi="宋体" w:cs="宋体"/>
          <w:bCs/>
          <w:sz w:val="24"/>
          <w:highlight w:val="none"/>
          <w:lang w:val="en-US" w:eastAsia="zh-CN"/>
        </w:rPr>
        <w:t>3</w:t>
      </w:r>
      <w:r>
        <w:rPr>
          <w:rFonts w:hint="eastAsia" w:ascii="宋体" w:hAnsi="宋体" w:cs="宋体"/>
          <w:bCs/>
          <w:sz w:val="24"/>
          <w:highlight w:val="none"/>
        </w:rPr>
        <w:t>〗个</w:t>
      </w:r>
      <w:r>
        <w:rPr>
          <w:rFonts w:hint="eastAsia" w:ascii="宋体" w:hAnsi="宋体" w:cs="宋体"/>
          <w:bCs/>
          <w:sz w:val="24"/>
          <w:highlight w:val="none"/>
          <w:lang w:val="en-US" w:eastAsia="zh-CN"/>
        </w:rPr>
        <w:t>交易</w:t>
      </w:r>
      <w:r>
        <w:rPr>
          <w:rFonts w:hint="eastAsia" w:ascii="宋体" w:hAnsi="宋体" w:cs="宋体"/>
          <w:bCs/>
          <w:sz w:val="24"/>
          <w:highlight w:val="none"/>
        </w:rPr>
        <w:t>日内（遇节假日顺延）将资金按规定的要求划入投资者授权指定的理财账户。</w:t>
      </w:r>
      <w:r>
        <w:rPr>
          <w:rFonts w:hint="eastAsia" w:ascii="宋体" w:hAnsi="宋体" w:cs="宋体"/>
          <w:color w:val="000000"/>
          <w:kern w:val="0"/>
          <w:sz w:val="24"/>
          <w:szCs w:val="24"/>
          <w:highlight w:val="none"/>
        </w:rPr>
        <w:t>（具体以销售机构规定为准）</w:t>
      </w:r>
    </w:p>
    <w:p>
      <w:pPr>
        <w:numPr>
          <w:ilvl w:val="0"/>
          <w:numId w:val="45"/>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sz w:val="24"/>
          <w:highlight w:val="none"/>
        </w:rPr>
        <w:t>2</w:t>
      </w:r>
      <w:r>
        <w:rPr>
          <w:rFonts w:hint="eastAsia" w:ascii="宋体" w:hAnsi="宋体" w:cs="宋体"/>
          <w:bCs/>
          <w:color w:val="000000"/>
          <w:sz w:val="24"/>
          <w:highlight w:val="none"/>
        </w:rPr>
        <w:t>〗</w:t>
      </w:r>
      <w:r>
        <w:rPr>
          <w:rFonts w:hint="eastAsia" w:ascii="宋体" w:hAnsi="宋体" w:cs="宋体"/>
          <w:bCs/>
          <w:sz w:val="24"/>
          <w:highlight w:val="none"/>
        </w:rPr>
        <w:t>个工作日通过管理人或销售机构发布提前终止公告，并于终止日后</w:t>
      </w:r>
      <w:r>
        <w:rPr>
          <w:rFonts w:hint="eastAsia" w:ascii="宋体" w:hAnsi="宋体" w:cs="宋体"/>
          <w:sz w:val="24"/>
          <w:szCs w:val="24"/>
          <w:highlight w:val="none"/>
        </w:rPr>
        <w:t>〖</w:t>
      </w:r>
      <w:r>
        <w:rPr>
          <w:rFonts w:hint="eastAsia" w:ascii="宋体" w:hAnsi="宋体" w:cs="宋体"/>
          <w:szCs w:val="21"/>
          <w:highlight w:val="none"/>
          <w:lang w:val="en-US" w:eastAsia="zh-CN"/>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cs="宋体"/>
          <w:bCs/>
          <w:sz w:val="24"/>
          <w:highlight w:val="none"/>
          <w:lang w:val="en-US" w:eastAsia="zh-CN"/>
        </w:rPr>
        <w:t>交易</w:t>
      </w:r>
      <w:r>
        <w:rPr>
          <w:rFonts w:hint="eastAsia" w:ascii="宋体" w:hAnsi="宋体" w:cs="宋体"/>
          <w:bCs/>
          <w:sz w:val="24"/>
          <w:highlight w:val="none"/>
        </w:rPr>
        <w:t>日内将可兑付款项按规定的要求划入投资者授权指定的理财账户。终止日至资金实际到账日之间，投资者资金不计息。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54"/>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54"/>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54"/>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54"/>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54"/>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54"/>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5"/>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55"/>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55"/>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55"/>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55"/>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55"/>
        </w:numPr>
        <w:spacing w:line="360" w:lineRule="auto"/>
        <w:ind w:firstLine="482" w:firstLineChars="200"/>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8"/>
        </w:numPr>
        <w:spacing w:line="360" w:lineRule="auto"/>
        <w:ind w:firstLine="482" w:firstLineChars="200"/>
        <w:jc w:val="left"/>
        <w:outlineLvl w:val="1"/>
        <w:rPr>
          <w:rFonts w:hint="eastAsia" w:ascii="宋体" w:hAnsi="宋体" w:cs="宋体"/>
          <w:b/>
          <w:sz w:val="24"/>
          <w:highlight w:val="none"/>
        </w:rPr>
      </w:pPr>
      <w:r>
        <w:rPr>
          <w:rFonts w:hint="eastAsia" w:ascii="宋体" w:hAnsi="宋体" w:cs="宋体"/>
          <w:b/>
          <w:sz w:val="24"/>
          <w:highlight w:val="none"/>
        </w:rPr>
        <w:t>信息披露</w:t>
      </w:r>
    </w:p>
    <w:p>
      <w:pPr>
        <w:numPr>
          <w:ilvl w:val="0"/>
          <w:numId w:val="56"/>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57"/>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5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5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发行公告：管理人应在理财计划成立日后3个工作日内披露，包括成立日期、募集规模等信息。</w:t>
      </w:r>
    </w:p>
    <w:p>
      <w:pPr>
        <w:numPr>
          <w:ilvl w:val="0"/>
          <w:numId w:val="57"/>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5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理财计划净值：管理人应在理财计划成立后，每个开放确认日后</w:t>
      </w:r>
      <w:r>
        <w:rPr>
          <w:rFonts w:hint="eastAsia" w:ascii="宋体" w:hAnsi="宋体" w:cs="宋体"/>
          <w:bCs/>
          <w:color w:val="000000"/>
          <w:sz w:val="24"/>
          <w:highlight w:val="none"/>
          <w:lang w:val="en-US" w:eastAsia="zh-CN"/>
        </w:rPr>
        <w:t>2</w:t>
      </w:r>
      <w:r>
        <w:rPr>
          <w:rFonts w:hint="eastAsia" w:ascii="宋体" w:hAnsi="宋体" w:cs="宋体"/>
          <w:bCs/>
          <w:color w:val="000000"/>
          <w:sz w:val="24"/>
          <w:highlight w:val="none"/>
        </w:rPr>
        <w:t>个工作日内披露本理财计划净值。</w:t>
      </w:r>
    </w:p>
    <w:p>
      <w:pPr>
        <w:numPr>
          <w:ilvl w:val="0"/>
          <w:numId w:val="5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p>
    <w:p>
      <w:pPr>
        <w:numPr>
          <w:ilvl w:val="0"/>
          <w:numId w:val="0"/>
        </w:numPr>
        <w:spacing w:line="360" w:lineRule="auto"/>
        <w:ind w:firstLine="0" w:firstLineChars="0"/>
        <w:rPr>
          <w:rFonts w:hint="eastAsia" w:ascii="宋体" w:hAnsi="宋体" w:cs="宋体"/>
          <w:b/>
          <w:sz w:val="24"/>
          <w:highlight w:val="none"/>
          <w:u w:val="none"/>
        </w:rPr>
      </w:pPr>
      <w:r>
        <w:rPr>
          <w:rFonts w:hint="eastAsia" w:ascii="宋体" w:hAnsi="宋体" w:cs="宋体"/>
          <w:bCs/>
          <w:color w:val="000000"/>
          <w:sz w:val="24"/>
          <w:highlight w:val="none"/>
          <w:u w:val="none"/>
          <w:lang w:eastAsia="zh-CN"/>
        </w:rPr>
        <w:t>如本理财计划成立不足</w:t>
      </w:r>
      <w:r>
        <w:rPr>
          <w:rFonts w:hint="eastAsia" w:ascii="宋体" w:hAnsi="宋体" w:cs="宋体"/>
          <w:bCs/>
          <w:color w:val="000000"/>
          <w:sz w:val="24"/>
          <w:highlight w:val="none"/>
          <w:u w:val="none"/>
          <w:lang w:val="en-US" w:eastAsia="zh-CN"/>
        </w:rPr>
        <w:t>90个工作日或剩余存续期不超过90个工作日的，管理人可不编制当期的季度、半年和年度报告等运行报告。</w:t>
      </w:r>
    </w:p>
    <w:p>
      <w:pPr>
        <w:numPr>
          <w:ilvl w:val="0"/>
          <w:numId w:val="5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57"/>
        </w:num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6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lang w:eastAsia="zh-CN"/>
        </w:rPr>
        <w:t>应在发生可能对理财计划投资者或者理财计划收益产</w:t>
      </w:r>
      <w:r>
        <w:rPr>
          <w:rFonts w:hint="eastAsia" w:ascii="宋体" w:hAnsi="宋体" w:cs="宋体"/>
          <w:bCs/>
          <w:color w:val="000000"/>
          <w:sz w:val="24"/>
          <w:highlight w:val="none"/>
        </w:rPr>
        <w:t>生重大事项的事件后2个工作日内发布重大事项公告。</w:t>
      </w:r>
    </w:p>
    <w:p>
      <w:pPr>
        <w:numPr>
          <w:ilvl w:val="0"/>
          <w:numId w:val="6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56"/>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8"/>
        </w:numPr>
        <w:spacing w:line="360" w:lineRule="auto"/>
        <w:ind w:firstLine="482" w:firstLineChars="200"/>
        <w:jc w:val="left"/>
        <w:outlineLvl w:val="1"/>
        <w:rPr>
          <w:rFonts w:hint="eastAsia" w:ascii="宋体" w:hAnsi="宋体" w:cs="宋体"/>
          <w:b/>
          <w:sz w:val="24"/>
          <w:highlight w:val="none"/>
        </w:rPr>
      </w:pPr>
      <w:r>
        <w:rPr>
          <w:rFonts w:hint="eastAsia" w:ascii="宋体" w:hAnsi="宋体" w:cs="宋体"/>
          <w:b/>
          <w:sz w:val="24"/>
          <w:highlight w:val="none"/>
        </w:rPr>
        <w:t>其他</w:t>
      </w:r>
    </w:p>
    <w:p>
      <w:pPr>
        <w:numPr>
          <w:ilvl w:val="0"/>
          <w:numId w:val="6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6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p>
    <w:p>
      <w:pPr>
        <w:numPr>
          <w:ilvl w:val="0"/>
          <w:numId w:val="6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eastAsia="zh-CN"/>
        </w:rPr>
        <w:t>销售机构或</w:t>
      </w:r>
      <w:r>
        <w:rPr>
          <w:rFonts w:hint="eastAsia" w:ascii="宋体" w:hAnsi="宋体" w:cs="宋体"/>
          <w:bCs/>
          <w:color w:val="000000"/>
          <w:sz w:val="24"/>
          <w:highlight w:val="none"/>
        </w:rPr>
        <w:t>管理人所在地有管辖权的人民法院诉讼解决。</w:t>
      </w:r>
    </w:p>
    <w:p>
      <w:pPr>
        <w:numPr>
          <w:ilvl w:val="0"/>
          <w:numId w:val="61"/>
        </w:numPr>
        <w:spacing w:line="360" w:lineRule="auto"/>
        <w:ind w:firstLine="482" w:firstLineChars="200"/>
        <w:jc w:val="left"/>
        <w:outlineLvl w:val="2"/>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spacing w:line="360" w:lineRule="auto"/>
        <w:jc w:val="center"/>
        <w:outlineLvl w:val="0"/>
        <w:rPr>
          <w:rFonts w:hint="eastAsia" w:ascii="宋体" w:hAnsi="宋体" w:cs="宋体"/>
          <w:b/>
          <w:bCs/>
          <w:color w:val="000000"/>
          <w:sz w:val="44"/>
          <w:szCs w:val="44"/>
          <w:highlight w:val="none"/>
        </w:rPr>
      </w:pPr>
      <w:r>
        <w:rPr>
          <w:rFonts w:hint="eastAsia" w:ascii="宋体" w:hAnsi="宋体" w:cs="宋体"/>
          <w:bCs/>
          <w:color w:val="000000"/>
          <w:sz w:val="24"/>
          <w:highlight w:val="none"/>
        </w:rPr>
        <w:br w:type="page"/>
      </w: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（202</w:t>
      </w:r>
      <w:r>
        <w:rPr>
          <w:rFonts w:hint="eastAsia" w:ascii="宋体" w:hAnsi="宋体" w:cs="宋体"/>
          <w:sz w:val="28"/>
          <w:szCs w:val="28"/>
          <w:highlight w:val="none"/>
          <w:lang w:val="en-US" w:eastAsia="zh-CN"/>
        </w:rPr>
        <w:t>2</w:t>
      </w:r>
      <w:r>
        <w:rPr>
          <w:rFonts w:hint="eastAsia" w:ascii="宋体" w:hAnsi="宋体" w:cs="宋体"/>
          <w:sz w:val="28"/>
          <w:szCs w:val="28"/>
          <w:highlight w:val="none"/>
        </w:rPr>
        <w:t>01版）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62"/>
        </w:num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63"/>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63"/>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p>
    <w:p>
      <w:pPr>
        <w:numPr>
          <w:ilvl w:val="0"/>
          <w:numId w:val="63"/>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63"/>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63"/>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p>
    <w:p>
      <w:pPr>
        <w:numPr>
          <w:ilvl w:val="0"/>
          <w:numId w:val="63"/>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64"/>
        </w:num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11"/>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4" w:hRule="atLeast"/>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numPr>
          <w:ilvl w:val="0"/>
          <w:numId w:val="0"/>
        </w:numPr>
        <w:spacing w:line="360" w:lineRule="auto"/>
        <w:ind w:leftChars="200" w:firstLine="0" w:firstLineChars="0"/>
        <w:outlineLvl w:val="1"/>
        <w:rPr>
          <w:rFonts w:hint="eastAsia" w:ascii="宋体" w:hAnsi="宋体" w:cs="宋体"/>
          <w:b/>
          <w:kern w:val="0"/>
          <w:sz w:val="24"/>
          <w:highlight w:val="none"/>
        </w:rPr>
      </w:pPr>
      <w:r>
        <w:rPr>
          <w:rFonts w:hint="eastAsia" w:ascii="宋体" w:hAnsi="宋体" w:cs="宋体"/>
          <w:bCs/>
          <w:highlight w:val="none"/>
        </w:rPr>
        <w:t>投资者风险承受能力评级水平以销售机构评估为准。</w:t>
      </w:r>
    </w:p>
    <w:p>
      <w:pPr>
        <w:numPr>
          <w:ilvl w:val="0"/>
          <w:numId w:val="65"/>
        </w:num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66"/>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66"/>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66"/>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67"/>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67"/>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67"/>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67"/>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68"/>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68"/>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68"/>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p>
    <w:p>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1"/>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69"/>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投资者如认为销售机构推介、销售理财计划时有不实或未尽风险告知职责或其它疑义事项，或对理财计划、销售机构及理财计划管理人服务有任何意见或建议，可通过拨打销售机构热线或客服电话进行反馈。销售机构将由专人接听、记录您的意见建议，并由双方协商共同解决。</w:t>
      </w:r>
    </w:p>
    <w:p>
      <w:pPr>
        <w:numPr>
          <w:ilvl w:val="0"/>
          <w:numId w:val="69"/>
        </w:numPr>
        <w:spacing w:line="360" w:lineRule="auto"/>
        <w:ind w:firstLine="480" w:firstLineChars="200"/>
        <w:outlineLvl w:val="2"/>
        <w:rPr>
          <w:rFonts w:hint="eastAsia" w:ascii="宋体" w:hAnsi="宋体" w:cs="宋体"/>
          <w:kern w:val="0"/>
          <w:sz w:val="24"/>
          <w:highlight w:val="none"/>
        </w:rPr>
      </w:pPr>
      <w:r>
        <w:rPr>
          <w:rFonts w:hint="eastAsia" w:ascii="宋体" w:hAnsi="宋体" w:cs="宋体"/>
          <w:kern w:val="0"/>
          <w:sz w:val="24"/>
          <w:highlight w:val="none"/>
        </w:rPr>
        <w:t>联络方式</w:t>
      </w:r>
    </w:p>
    <w:p>
      <w:pPr>
        <w:numPr>
          <w:ilvl w:val="0"/>
          <w:numId w:val="70"/>
        </w:numPr>
        <w:spacing w:line="360" w:lineRule="auto"/>
        <w:ind w:left="0" w:leftChars="0" w:firstLine="480" w:firstLineChars="20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bCs/>
          <w:color w:val="auto"/>
          <w:kern w:val="2"/>
          <w:highlight w:val="none"/>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rPr>
        <w:fldChar w:fldCharType="begin"/>
      </w:r>
      <w:r>
        <w:rPr>
          <w:rFonts w:hint="eastAsia" w:ascii="宋体" w:hAnsi="宋体" w:cs="宋体"/>
          <w:bCs/>
          <w:color w:val="auto"/>
          <w:kern w:val="2"/>
          <w:highlight w:val="none"/>
        </w:rPr>
        <w:instrText xml:space="preserve"> HYPERLINK "https://www.hzbankwealth.com.cn" </w:instrText>
      </w:r>
      <w:r>
        <w:rPr>
          <w:rFonts w:hint="eastAsia" w:ascii="宋体" w:hAnsi="宋体" w:cs="宋体"/>
          <w:bCs/>
          <w:color w:val="auto"/>
          <w:kern w:val="2"/>
          <w:highlight w:val="none"/>
        </w:rPr>
        <w:fldChar w:fldCharType="separate"/>
      </w:r>
      <w:r>
        <w:rPr>
          <w:rStyle w:val="14"/>
          <w:rFonts w:hint="eastAsia" w:ascii="宋体" w:hAnsi="宋体" w:cs="宋体"/>
          <w:bCs/>
          <w:kern w:val="2"/>
          <w:highlight w:val="none"/>
        </w:rPr>
        <w:t>https://www.hzbankwealth.com.cn</w:t>
      </w:r>
      <w:r>
        <w:rPr>
          <w:rFonts w:hint="eastAsia" w:ascii="宋体" w:hAnsi="宋体" w:cs="宋体"/>
          <w:bCs/>
          <w:color w:val="auto"/>
          <w:kern w:val="2"/>
          <w:highlight w:val="none"/>
        </w:rPr>
        <w:fldChar w:fldCharType="end"/>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70"/>
        </w:numPr>
        <w:spacing w:line="360" w:lineRule="auto"/>
        <w:ind w:left="0" w:leftChars="0" w:firstLine="480" w:firstLineChars="20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kern w:val="0"/>
          <w:sz w:val="24"/>
          <w:highlight w:val="none"/>
          <w:u w:val="single"/>
          <w:lang w:val="en-US" w:eastAsia="zh-CN"/>
        </w:rPr>
        <w:fldChar w:fldCharType="begin"/>
      </w:r>
      <w:r>
        <w:rPr>
          <w:rFonts w:hint="eastAsia" w:ascii="宋体" w:hAnsi="宋体" w:cs="宋体"/>
          <w:kern w:val="0"/>
          <w:sz w:val="24"/>
          <w:highlight w:val="none"/>
          <w:u w:val="single"/>
          <w:lang w:val="en-US" w:eastAsia="zh-CN"/>
        </w:rPr>
        <w:instrText xml:space="preserve"> HYPERLINK "http://www.hzbankwealth.cn" </w:instrText>
      </w:r>
      <w:r>
        <w:rPr>
          <w:rFonts w:hint="eastAsia" w:ascii="宋体" w:hAnsi="宋体" w:cs="宋体"/>
          <w:kern w:val="0"/>
          <w:sz w:val="24"/>
          <w:highlight w:val="none"/>
          <w:u w:val="single"/>
          <w:lang w:val="en-US" w:eastAsia="zh-CN"/>
        </w:rPr>
        <w:fldChar w:fldCharType="separate"/>
      </w:r>
      <w:r>
        <w:rPr>
          <w:rStyle w:val="14"/>
          <w:rFonts w:hint="eastAsia" w:ascii="宋体" w:hAnsi="宋体" w:cs="宋体"/>
          <w:kern w:val="0"/>
          <w:sz w:val="24"/>
          <w:highlight w:val="none"/>
          <w:lang w:val="en-US" w:eastAsia="zh-CN"/>
        </w:rPr>
        <w:t>www.hzbank.com.cn</w:t>
      </w:r>
      <w:r>
        <w:rPr>
          <w:rFonts w:hint="eastAsia" w:ascii="宋体" w:hAnsi="宋体" w:cs="宋体"/>
          <w:kern w:val="0"/>
          <w:sz w:val="24"/>
          <w:highlight w:val="none"/>
          <w:u w:val="singl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hint="eastAsia" w:ascii="宋体" w:hAnsi="宋体" w:eastAsia="宋体" w:cs="宋体"/>
          <w:kern w:val="0"/>
          <w:sz w:val="24"/>
          <w:highlight w:val="none"/>
          <w:lang w:eastAsia="zh-CN"/>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spacing w:line="360" w:lineRule="auto"/>
        <w:jc w:val="center"/>
        <w:outlineLvl w:val="0"/>
        <w:rPr>
          <w:rFonts w:hint="eastAsia"/>
          <w:b/>
          <w:sz w:val="44"/>
          <w:szCs w:val="44"/>
          <w:highlight w:val="none"/>
        </w:rPr>
      </w:pPr>
      <w:r>
        <w:rPr>
          <w:rFonts w:hint="eastAsia"/>
          <w:b/>
          <w:sz w:val="44"/>
          <w:szCs w:val="44"/>
          <w:highlight w:val="none"/>
        </w:rPr>
        <w:br w:type="page"/>
      </w: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（202</w:t>
      </w:r>
      <w:r>
        <w:rPr>
          <w:rFonts w:hint="eastAsia" w:ascii="宋体" w:hAnsi="宋体" w:cs="宋体"/>
          <w:sz w:val="28"/>
          <w:szCs w:val="28"/>
          <w:highlight w:val="none"/>
          <w:lang w:val="en-US" w:eastAsia="zh-CN"/>
        </w:rPr>
        <w:t>2</w:t>
      </w:r>
      <w:r>
        <w:rPr>
          <w:rFonts w:hint="eastAsia" w:ascii="宋体" w:hAnsi="宋体" w:cs="宋体"/>
          <w:sz w:val="28"/>
          <w:szCs w:val="28"/>
          <w:highlight w:val="none"/>
        </w:rPr>
        <w:t>01版）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71"/>
        </w:numPr>
        <w:spacing w:line="360" w:lineRule="auto"/>
        <w:ind w:firstLine="482" w:firstLineChars="200"/>
        <w:outlineLvl w:val="1"/>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71"/>
        </w:numPr>
        <w:spacing w:line="360" w:lineRule="auto"/>
        <w:ind w:firstLine="482" w:firstLineChars="200"/>
        <w:outlineLvl w:val="1"/>
        <w:rPr>
          <w:rFonts w:hint="eastAsia"/>
          <w:b/>
          <w:sz w:val="24"/>
          <w:highlight w:val="none"/>
        </w:rPr>
      </w:pPr>
      <w:r>
        <w:rPr>
          <w:rFonts w:hint="eastAsia"/>
          <w:b/>
          <w:sz w:val="24"/>
          <w:highlight w:val="none"/>
        </w:rPr>
        <w:t>投资者权利与义务</w:t>
      </w:r>
    </w:p>
    <w:p>
      <w:pPr>
        <w:widowControl/>
        <w:numPr>
          <w:ilvl w:val="0"/>
          <w:numId w:val="72"/>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72"/>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72"/>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72"/>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72"/>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72"/>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72"/>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72"/>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72"/>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71"/>
        </w:numPr>
        <w:spacing w:line="360" w:lineRule="auto"/>
        <w:ind w:firstLine="482" w:firstLineChars="200"/>
        <w:outlineLvl w:val="1"/>
        <w:rPr>
          <w:rFonts w:hint="eastAsia"/>
          <w:b/>
          <w:sz w:val="24"/>
          <w:highlight w:val="none"/>
        </w:rPr>
      </w:pPr>
      <w:r>
        <w:rPr>
          <w:rFonts w:hint="eastAsia"/>
          <w:b/>
          <w:sz w:val="24"/>
          <w:highlight w:val="none"/>
        </w:rPr>
        <w:t>管理人权利与义务</w:t>
      </w:r>
    </w:p>
    <w:p>
      <w:pPr>
        <w:widowControl/>
        <w:numPr>
          <w:ilvl w:val="0"/>
          <w:numId w:val="73"/>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73"/>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73"/>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73"/>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73"/>
        </w:numPr>
        <w:spacing w:line="360" w:lineRule="auto"/>
        <w:ind w:firstLine="480" w:firstLineChars="200"/>
        <w:contextualSpacing/>
        <w:outlineLvl w:val="2"/>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73"/>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73"/>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73"/>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sz w:val="24"/>
          <w:highlight w:val="none"/>
        </w:rPr>
        <w:t xml:space="preserve">。 </w:t>
      </w:r>
    </w:p>
    <w:p>
      <w:pPr>
        <w:widowControl/>
        <w:numPr>
          <w:ilvl w:val="0"/>
          <w:numId w:val="73"/>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71"/>
        </w:numPr>
        <w:spacing w:line="360" w:lineRule="auto"/>
        <w:ind w:firstLine="482" w:firstLineChars="200"/>
        <w:outlineLvl w:val="1"/>
        <w:rPr>
          <w:rFonts w:hint="eastAsia"/>
          <w:b/>
          <w:sz w:val="24"/>
          <w:highlight w:val="none"/>
        </w:rPr>
      </w:pPr>
      <w:r>
        <w:rPr>
          <w:rFonts w:hint="eastAsia"/>
          <w:b/>
          <w:sz w:val="24"/>
          <w:highlight w:val="none"/>
        </w:rPr>
        <w:t>理财计划认（申）购、赎回及终止</w:t>
      </w:r>
    </w:p>
    <w:p>
      <w:pPr>
        <w:widowControl/>
        <w:numPr>
          <w:ilvl w:val="0"/>
          <w:numId w:val="74"/>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74"/>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74"/>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74"/>
        </w:numPr>
        <w:spacing w:line="360" w:lineRule="auto"/>
        <w:ind w:firstLine="480" w:firstLineChars="200"/>
        <w:contextualSpacing/>
        <w:outlineLvl w:val="2"/>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74"/>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74"/>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71"/>
        </w:numPr>
        <w:spacing w:line="360" w:lineRule="auto"/>
        <w:ind w:firstLine="482" w:firstLineChars="200"/>
        <w:outlineLvl w:val="1"/>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71"/>
        </w:numPr>
        <w:spacing w:line="360" w:lineRule="auto"/>
        <w:ind w:firstLine="482" w:firstLineChars="200"/>
        <w:outlineLvl w:val="1"/>
        <w:rPr>
          <w:rFonts w:hint="eastAsia"/>
          <w:b/>
          <w:sz w:val="24"/>
          <w:highlight w:val="none"/>
        </w:rPr>
      </w:pPr>
      <w:r>
        <w:rPr>
          <w:rFonts w:hint="eastAsia"/>
          <w:b/>
          <w:sz w:val="24"/>
          <w:highlight w:val="none"/>
        </w:rPr>
        <w:t>违约责任及免责条款</w:t>
      </w:r>
    </w:p>
    <w:p>
      <w:pPr>
        <w:widowControl/>
        <w:numPr>
          <w:ilvl w:val="0"/>
          <w:numId w:val="75"/>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val="en-US"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val="en-US" w:eastAsia="zh-CN"/>
        </w:rPr>
        <w:t>赎回</w:t>
      </w:r>
      <w:r>
        <w:rPr>
          <w:rFonts w:hint="eastAsia" w:ascii="宋体" w:hAnsi="宋体"/>
          <w:sz w:val="24"/>
          <w:highlight w:val="none"/>
        </w:rPr>
        <w:t>日前的理财收益，也不计付存款利息。</w:t>
      </w:r>
    </w:p>
    <w:p>
      <w:pPr>
        <w:widowControl/>
        <w:numPr>
          <w:ilvl w:val="0"/>
          <w:numId w:val="75"/>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75"/>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75"/>
        </w:numPr>
        <w:spacing w:line="360" w:lineRule="auto"/>
        <w:ind w:firstLine="480" w:firstLineChars="200"/>
        <w:contextualSpacing/>
        <w:outlineLvl w:val="2"/>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75"/>
        </w:numPr>
        <w:spacing w:line="360" w:lineRule="auto"/>
        <w:ind w:firstLine="480" w:firstLineChars="200"/>
        <w:contextualSpacing/>
        <w:outlineLvl w:val="2"/>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75"/>
        </w:numPr>
        <w:spacing w:line="360" w:lineRule="auto"/>
        <w:ind w:firstLine="480" w:firstLineChars="200"/>
        <w:contextualSpacing/>
        <w:outlineLvl w:val="2"/>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71"/>
        </w:numPr>
        <w:spacing w:line="360" w:lineRule="auto"/>
        <w:ind w:firstLine="482" w:firstLineChars="200"/>
        <w:outlineLvl w:val="1"/>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eastAsia="zh-CN"/>
        </w:rPr>
        <w:t>销售机构或</w:t>
      </w:r>
      <w:r>
        <w:rPr>
          <w:rFonts w:hint="eastAsia" w:ascii="宋体" w:hAnsi="宋体"/>
          <w:sz w:val="24"/>
          <w:highlight w:val="none"/>
        </w:rPr>
        <w:t>管理人所在地人民法院司法裁决。诉讼期间，未涉及争议的条款仍需继续履行。</w:t>
      </w:r>
    </w:p>
    <w:p>
      <w:pPr>
        <w:spacing w:line="360" w:lineRule="auto"/>
        <w:ind w:left="482"/>
        <w:rPr>
          <w:b/>
          <w:sz w:val="24"/>
          <w:highlight w:val="none"/>
        </w:rPr>
      </w:pPr>
    </w:p>
    <w:p>
      <w:pPr>
        <w:numPr>
          <w:ilvl w:val="0"/>
          <w:numId w:val="71"/>
        </w:numPr>
        <w:spacing w:line="360" w:lineRule="auto"/>
        <w:ind w:firstLine="482" w:firstLineChars="200"/>
        <w:outlineLvl w:val="1"/>
        <w:rPr>
          <w:rFonts w:hint="eastAsia"/>
          <w:b/>
          <w:sz w:val="24"/>
          <w:highlight w:val="none"/>
        </w:rPr>
      </w:pPr>
      <w:r>
        <w:rPr>
          <w:rFonts w:hint="eastAsia"/>
          <w:b/>
          <w:sz w:val="24"/>
          <w:highlight w:val="none"/>
        </w:rPr>
        <w:t>协议生效和终止</w:t>
      </w:r>
    </w:p>
    <w:p>
      <w:pPr>
        <w:widowControl/>
        <w:numPr>
          <w:ilvl w:val="0"/>
          <w:numId w:val="76"/>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76"/>
        </w:numPr>
        <w:spacing w:line="360" w:lineRule="auto"/>
        <w:ind w:firstLine="480" w:firstLineChars="200"/>
        <w:contextualSpacing/>
        <w:outlineLvl w:val="2"/>
        <w:rPr>
          <w:rFonts w:hint="eastAsia" w:ascii="宋体" w:hAnsi="宋体"/>
          <w:sz w:val="24"/>
          <w:highlight w:val="none"/>
        </w:rPr>
      </w:pPr>
      <w:r>
        <w:rPr>
          <w:rFonts w:hint="eastAsia" w:ascii="宋体" w:hAnsi="宋体"/>
          <w:sz w:val="24"/>
          <w:highlight w:val="none"/>
        </w:rPr>
        <w:t>本协议书以纸质书面形式订立的，自投资者签字和销售机构代表管理人签署盖章之后立即生效。协议一式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76"/>
        </w:numPr>
        <w:spacing w:line="360" w:lineRule="auto"/>
        <w:ind w:firstLine="480" w:firstLineChars="200"/>
        <w:contextualSpacing/>
        <w:outlineLvl w:val="2"/>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76"/>
        </w:numPr>
        <w:spacing w:line="360" w:lineRule="auto"/>
        <w:ind w:firstLine="480" w:firstLineChars="200"/>
        <w:contextualSpacing/>
        <w:outlineLvl w:val="2"/>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71"/>
        </w:numPr>
        <w:spacing w:line="360" w:lineRule="auto"/>
        <w:ind w:firstLine="482" w:firstLineChars="200"/>
        <w:outlineLvl w:val="1"/>
        <w:rPr>
          <w:b/>
          <w:sz w:val="24"/>
          <w:highlight w:val="none"/>
        </w:rPr>
      </w:pPr>
      <w:r>
        <w:rPr>
          <w:rFonts w:hint="eastAsia"/>
          <w:b/>
          <w:sz w:val="24"/>
          <w:highlight w:val="none"/>
        </w:rPr>
        <w:t>附则</w:t>
      </w:r>
    </w:p>
    <w:p>
      <w:pPr>
        <w:widowControl/>
        <w:numPr>
          <w:ilvl w:val="0"/>
          <w:numId w:val="77"/>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如果投资者与管理人之间存在多份理财计划协议书，则每一份协议书分别与其所对应的产品说明书等销售文本单独构成一个理财计划交易合同，各个合同之间互相独立，每一合同的效力及履行情况均独立于其他合同。</w:t>
      </w:r>
    </w:p>
    <w:p>
      <w:pPr>
        <w:widowControl/>
        <w:numPr>
          <w:ilvl w:val="0"/>
          <w:numId w:val="77"/>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77"/>
        </w:numPr>
        <w:spacing w:line="360" w:lineRule="auto"/>
        <w:ind w:firstLine="480" w:firstLineChars="200"/>
        <w:contextualSpacing/>
        <w:outlineLvl w:val="2"/>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ind w:firstLine="480" w:firstLineChars="200"/>
        <w:outlineLvl w:val="9"/>
        <w:rPr>
          <w:rFonts w:ascii="宋体" w:hAnsi="宋体" w:cs="宋体"/>
          <w:bCs/>
          <w:color w:val="000000"/>
          <w:sz w:val="24"/>
          <w:highlight w:val="none"/>
        </w:rPr>
      </w:pPr>
    </w:p>
    <w:p>
      <w:pPr>
        <w:spacing w:line="360" w:lineRule="auto"/>
        <w:ind w:firstLine="480" w:firstLineChars="200"/>
        <w:outlineLvl w:val="9"/>
        <w:rPr>
          <w:rFonts w:ascii="宋体" w:hAnsi="宋体" w:cs="宋体"/>
          <w:bCs/>
          <w:color w:val="000000"/>
          <w:sz w:val="24"/>
          <w:highlight w:val="none"/>
        </w:rPr>
      </w:pPr>
    </w:p>
    <w:p>
      <w:pPr>
        <w:pStyle w:val="9"/>
        <w:widowControl/>
        <w:spacing w:line="360" w:lineRule="auto"/>
        <w:jc w:val="right"/>
        <w:outlineLvl w:val="9"/>
        <w:rPr>
          <w:rFonts w:hint="eastAsia" w:ascii="宋体" w:hAnsi="Wingdings" w:cs="宋体"/>
          <w:color w:val="000000"/>
          <w:kern w:val="0"/>
          <w:highlight w:val="none"/>
        </w:rPr>
      </w:pPr>
      <w:r>
        <w:rPr>
          <w:rFonts w:hint="eastAsia" w:ascii="宋体" w:hAnsi="宋体" w:cs="宋体"/>
          <w:kern w:val="0"/>
          <w:highlight w:val="none"/>
        </w:rPr>
        <w:t>杭银理财有限责任公司</w:t>
      </w:r>
    </w:p>
    <w:p>
      <w:pPr>
        <w:spacing w:line="360" w:lineRule="auto"/>
        <w:outlineLvl w:val="9"/>
        <w:rPr>
          <w:rFonts w:ascii="宋体" w:hAnsi="宋体" w:cs="宋体"/>
          <w:bCs/>
          <w:color w:val="000000"/>
          <w:sz w:val="24"/>
          <w:highlight w:val="none"/>
        </w:rPr>
      </w:pPr>
    </w:p>
    <w:p>
      <w:pPr>
        <w:spacing w:line="360" w:lineRule="auto"/>
        <w:outlineLvl w:val="9"/>
        <w:rPr>
          <w:rFonts w:ascii="宋体" w:hAnsi="宋体" w:cs="宋体"/>
          <w:bCs/>
          <w:color w:val="000000"/>
          <w:sz w:val="24"/>
          <w:highlight w:val="none"/>
        </w:rPr>
      </w:pPr>
    </w:p>
    <w:p>
      <w:pPr>
        <w:spacing w:line="360" w:lineRule="auto"/>
        <w:outlineLvl w:val="9"/>
        <w:rPr>
          <w:rFonts w:ascii="宋体" w:hAnsi="宋体" w:cs="宋体"/>
          <w:bCs/>
          <w:color w:val="000000"/>
          <w:sz w:val="24"/>
          <w:highlight w:val="none"/>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0"/>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（202</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01版）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（202201版）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w:t>
      </w:r>
      <w:r>
        <w:rPr>
          <w:rFonts w:hint="eastAsia" w:cs="黑体"/>
          <w:sz w:val="24"/>
          <w:highlight w:val="none"/>
          <w:lang w:val="en-US" w:eastAsia="zh-CN"/>
        </w:rPr>
        <w:t>代理</w:t>
      </w:r>
      <w:r>
        <w:rPr>
          <w:rFonts w:hint="eastAsia" w:ascii="Calibri" w:hAnsi="Calibri" w:eastAsia="宋体" w:cs="黑体"/>
          <w:sz w:val="24"/>
          <w:highlight w:val="none"/>
          <w:lang w:val="en-US" w:eastAsia="zh-CN"/>
        </w:rPr>
        <w:t>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78"/>
        </w:numPr>
        <w:spacing w:line="360" w:lineRule="auto"/>
        <w:ind w:left="0" w:leftChars="0" w:firstLine="482" w:firstLineChars="20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78"/>
        </w:numPr>
        <w:spacing w:line="360" w:lineRule="auto"/>
        <w:ind w:left="0" w:leftChars="0" w:firstLine="482" w:firstLineChars="200"/>
        <w:contextualSpacing/>
        <w:outlineLvl w:val="2"/>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78"/>
        </w:numPr>
        <w:spacing w:line="360" w:lineRule="auto"/>
        <w:ind w:left="0" w:leftChars="0" w:firstLine="480" w:firstLineChars="200"/>
        <w:contextualSpacing/>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78"/>
        </w:numPr>
        <w:spacing w:line="360" w:lineRule="auto"/>
        <w:ind w:left="0" w:leftChars="0" w:firstLine="482" w:firstLineChars="20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78"/>
        </w:numPr>
        <w:spacing w:line="360" w:lineRule="auto"/>
        <w:ind w:left="0" w:leftChars="0" w:firstLine="482" w:firstLineChars="200"/>
        <w:contextualSpacing/>
        <w:outlineLvl w:val="2"/>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79"/>
        </w:numPr>
        <w:kinsoku/>
        <w:wordWrap/>
        <w:overflowPunct/>
        <w:topLinePunct w:val="0"/>
        <w:autoSpaceDE/>
        <w:autoSpaceDN/>
        <w:bidi w:val="0"/>
        <w:adjustRightInd/>
        <w:snapToGrid/>
        <w:spacing w:line="360" w:lineRule="auto"/>
        <w:ind w:left="0" w:leftChars="0" w:firstLine="480"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79"/>
        </w:numPr>
        <w:kinsoku/>
        <w:wordWrap/>
        <w:overflowPunct/>
        <w:topLinePunct w:val="0"/>
        <w:autoSpaceDE/>
        <w:autoSpaceDN/>
        <w:bidi w:val="0"/>
        <w:adjustRightInd/>
        <w:snapToGrid/>
        <w:spacing w:line="360" w:lineRule="auto"/>
        <w:ind w:left="0" w:leftChars="0" w:firstLine="482"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cs="黑体"/>
          <w:b/>
          <w:bCs/>
          <w:sz w:val="24"/>
          <w:highlight w:val="none"/>
          <w:lang w:val="en-US" w:eastAsia="zh-CN"/>
        </w:rPr>
        <w:t>代理</w:t>
      </w:r>
      <w:r>
        <w:rPr>
          <w:rFonts w:hint="eastAsia" w:ascii="宋体" w:hAnsi="宋体" w:eastAsia="宋体" w:cs="黑体"/>
          <w:b/>
          <w:bCs/>
          <w:sz w:val="24"/>
          <w:highlight w:val="none"/>
          <w:lang w:val="en-US" w:eastAsia="zh-CN"/>
        </w:rPr>
        <w:t>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79"/>
        </w:numPr>
        <w:kinsoku/>
        <w:wordWrap/>
        <w:overflowPunct/>
        <w:topLinePunct w:val="0"/>
        <w:autoSpaceDE/>
        <w:autoSpaceDN/>
        <w:bidi w:val="0"/>
        <w:adjustRightInd/>
        <w:snapToGrid/>
        <w:spacing w:line="360" w:lineRule="auto"/>
        <w:ind w:left="0" w:leftChars="0" w:firstLine="480" w:firstLineChars="20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79"/>
        </w:numPr>
        <w:kinsoku/>
        <w:wordWrap/>
        <w:overflowPunct/>
        <w:topLinePunct w:val="0"/>
        <w:autoSpaceDE/>
        <w:autoSpaceDN/>
        <w:bidi w:val="0"/>
        <w:adjustRightInd/>
        <w:snapToGrid/>
        <w:spacing w:line="360" w:lineRule="auto"/>
        <w:ind w:left="0" w:leftChars="0" w:firstLine="480"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79"/>
        </w:numPr>
        <w:kinsoku/>
        <w:wordWrap/>
        <w:overflowPunct/>
        <w:topLinePunct w:val="0"/>
        <w:autoSpaceDE/>
        <w:autoSpaceDN/>
        <w:bidi w:val="0"/>
        <w:adjustRightInd/>
        <w:snapToGrid/>
        <w:spacing w:line="360" w:lineRule="auto"/>
        <w:ind w:left="0" w:leftChars="0" w:firstLine="480" w:firstLineChars="200"/>
        <w:contextualSpacing/>
        <w:jc w:val="both"/>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79"/>
        </w:numPr>
        <w:kinsoku/>
        <w:wordWrap/>
        <w:overflowPunct/>
        <w:topLinePunct w:val="0"/>
        <w:autoSpaceDE/>
        <w:autoSpaceDN/>
        <w:bidi w:val="0"/>
        <w:adjustRightInd/>
        <w:snapToGrid/>
        <w:spacing w:line="360" w:lineRule="auto"/>
        <w:ind w:left="0" w:leftChars="0" w:firstLine="480"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79"/>
        </w:numPr>
        <w:kinsoku/>
        <w:wordWrap/>
        <w:overflowPunct/>
        <w:topLinePunct w:val="0"/>
        <w:autoSpaceDE/>
        <w:autoSpaceDN/>
        <w:bidi w:val="0"/>
        <w:adjustRightInd/>
        <w:snapToGrid/>
        <w:spacing w:line="360" w:lineRule="auto"/>
        <w:ind w:left="0" w:leftChars="0" w:firstLine="480"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79"/>
        </w:numPr>
        <w:kinsoku/>
        <w:wordWrap/>
        <w:overflowPunct/>
        <w:topLinePunct w:val="0"/>
        <w:autoSpaceDE/>
        <w:autoSpaceDN/>
        <w:bidi w:val="0"/>
        <w:adjustRightInd/>
        <w:snapToGrid/>
        <w:spacing w:line="360" w:lineRule="auto"/>
        <w:ind w:left="0" w:leftChars="0" w:firstLine="480"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销售机构对投资者负有信息保密义务，未经投资者书面许可，乙方不得向任何组织、个人提供或泄露与甲方有关的业务资料及信息，但法律、法规另有规定的除外。</w:t>
      </w:r>
    </w:p>
    <w:p>
      <w:pPr>
        <w:keepNext w:val="0"/>
        <w:keepLines w:val="0"/>
        <w:pageBreakBefore w:val="0"/>
        <w:widowControl/>
        <w:numPr>
          <w:ilvl w:val="0"/>
          <w:numId w:val="79"/>
        </w:numPr>
        <w:kinsoku/>
        <w:wordWrap/>
        <w:overflowPunct/>
        <w:topLinePunct w:val="0"/>
        <w:autoSpaceDE/>
        <w:autoSpaceDN/>
        <w:bidi w:val="0"/>
        <w:adjustRightInd/>
        <w:snapToGrid/>
        <w:spacing w:line="360" w:lineRule="auto"/>
        <w:ind w:left="0" w:leftChars="0" w:firstLine="480"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firstLine="480"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firstLine="480"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firstLine="480" w:firstLineChars="200"/>
        <w:contextualSpacing/>
        <w:jc w:val="left"/>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80"/>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80"/>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80"/>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80"/>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80"/>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80"/>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204"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81"/>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cs="黑体"/>
          <w:sz w:val="24"/>
          <w:highlight w:val="none"/>
          <w:lang w:val="en-US"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cs="黑体"/>
          <w:sz w:val="24"/>
          <w:highlight w:val="none"/>
          <w:lang w:val="en-US"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81"/>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81"/>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81"/>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81"/>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销售机构或管理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82"/>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83"/>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本协议书以纸质书面形式订立的，自投资者签字和销售机构签章之后立即生效。协议一式</w:t>
      </w:r>
      <w:r>
        <w:rPr>
          <w:rFonts w:hint="eastAsia" w:ascii="宋体" w:hAnsi="宋体" w:eastAsia="宋体" w:cs="黑体"/>
          <w:sz w:val="24"/>
          <w:highlight w:val="none"/>
          <w:lang w:val="en-US" w:eastAsia="zh-CN"/>
        </w:rPr>
        <w:t>叁</w:t>
      </w:r>
      <w:r>
        <w:rPr>
          <w:rFonts w:hint="eastAsia" w:ascii="宋体" w:hAnsi="宋体" w:eastAsia="宋体" w:cs="黑体"/>
          <w:sz w:val="24"/>
          <w:highlight w:val="none"/>
        </w:rPr>
        <w:t>份，投资者</w:t>
      </w:r>
      <w:r>
        <w:rPr>
          <w:rFonts w:hint="eastAsia" w:ascii="宋体" w:hAnsi="宋体" w:eastAsia="宋体" w:cs="黑体"/>
          <w:sz w:val="24"/>
          <w:highlight w:val="none"/>
          <w:lang w:eastAsia="zh-CN"/>
        </w:rPr>
        <w:t>、</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各执壹份，具有同等法律效力。 </w:t>
      </w:r>
    </w:p>
    <w:p>
      <w:pPr>
        <w:keepNext w:val="0"/>
        <w:keepLines w:val="0"/>
        <w:pageBreakBefore w:val="0"/>
        <w:widowControl/>
        <w:numPr>
          <w:ilvl w:val="0"/>
          <w:numId w:val="83"/>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83"/>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84"/>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84"/>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84"/>
        </w:numPr>
        <w:kinsoku/>
        <w:wordWrap/>
        <w:overflowPunct/>
        <w:topLinePunct w:val="0"/>
        <w:autoSpaceDE/>
        <w:autoSpaceDN/>
        <w:bidi w:val="0"/>
        <w:adjustRightInd/>
        <w:snapToGrid/>
        <w:spacing w:line="360" w:lineRule="auto"/>
        <w:ind w:left="0" w:leftChars="0" w:firstLine="480" w:firstLineChars="200"/>
        <w:contextualSpacing/>
        <w:textAlignment w:val="auto"/>
        <w:outlineLvl w:val="2"/>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Wingdings" w:eastAsia="宋体" w:cs="宋体"/>
          <w:color w:val="000000"/>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杭银理财有限责任公司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val="0"/>
          <w:bCs w:val="0"/>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spacing w:line="360" w:lineRule="auto"/>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42</w:t>
                          </w:r>
                          <w:r>
                            <w:rPr>
                              <w:rFonts w:hint="eastAsia"/>
                              <w:sz w:val="18"/>
                            </w:rP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ePVj7ABAABOAwAADgAAAGRycy9lMm9Eb2MueG1srVNLbtswEN0XyB0I&#10;7mPKXgSGYDlIECQIELQF0h6ApkiLAH/g0JZ8gfYGXXXTfc/lc3RIS06b7oJsqOHM8M17M6PV9WAN&#10;2csI2ruGzmcVJdIJ32q3bejXL/eXS0ogcddy451s6EECvV5ffFj1oZYL33nTykgQxEHdh4Z2KYWa&#10;MRCdtBxmPkiHQeWj5QmvccvayHtEt4YtquqK9T62IXohAdB7dwrSdcFXSor0SSmQiZiGIrdUzljO&#10;TT7ZesXrbeSh02Kkwd/AwnLtsOgZ6o4nTnZR/wdltYgevEoz4S3zSmkhiwZUM69eqXnueJBFCzYH&#10;wrlN8H6w4uP+cyS6xdlR4rjFER1/fD/+/H389Y3Mq8VV7lAfoMbE54Cpabj1Q84e/YDOLHxQ0eYv&#10;SiIYx14fzv2VQyIiP1oulssKQwJj0wVx2MvzECE9SG9JNhoacYClr3z/BOmUOqXkas7fa2PQz2vj&#10;/nEgZvawzP3EMVtp2Awj8Y1vD6inx9k31OFyUmIeHbY2r8lkxMnYTMYuRL3tyh7lehBudglJFG65&#10;wgl2LIxDK+rGBctb8fe9ZL38B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Inj1Y+wAQAA&#10;TgMAAA4AAAAAAAAAAQAgAAAAHgEAAGRycy9lMm9Eb2MueG1sUEsFBgAAAAAGAAYAWQEAAEAFAAAA&#10;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42</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jc w:val="left"/>
      <w:rPr>
        <w:rFonts w:hint="default" w:eastAsia="宋体"/>
        <w:b/>
        <w:bCs/>
        <w:lang w:val="en-US" w:eastAsia="zh-CN"/>
      </w:rPr>
    </w:pPr>
    <w:r>
      <w:rPr>
        <w:rFonts w:hint="default" w:eastAsia="宋体"/>
        <w:b/>
        <w:bCs/>
        <w:color w:val="auto"/>
        <w:lang w:val="en-US" w:eastAsia="zh-CN"/>
      </w:rPr>
      <w:drawing>
        <wp:anchor distT="0" distB="0" distL="114300" distR="114300" simplePos="0" relativeHeight="251659264" behindDoc="1" locked="0" layoutInCell="1" allowOverlap="1">
          <wp:simplePos x="0" y="0"/>
          <wp:positionH relativeFrom="column">
            <wp:posOffset>5181600</wp:posOffset>
          </wp:positionH>
          <wp:positionV relativeFrom="paragraph">
            <wp:posOffset>-585470</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102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25"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b/>
        <w:bCs/>
        <w:color w:val="auto"/>
        <w:lang w:eastAsia="zh-CN"/>
      </w:rPr>
      <w:t>理财非存款</w:t>
    </w:r>
    <w:r>
      <w:rPr>
        <w:rFonts w:hint="eastAsia"/>
        <w:b/>
        <w:bCs/>
        <w:color w:val="auto"/>
        <w:lang w:val="en-US" w:eastAsia="zh-CN"/>
      </w:rPr>
      <w:t xml:space="preserve"> 产品有风险 投资需谨慎</w:t>
    </w:r>
    <w:r>
      <w:rPr>
        <w:rFonts w:hint="eastAsia"/>
        <w:b/>
        <w:bCs/>
        <w:color w:val="FF0000"/>
        <w:lang w:val="en-US" w:eastAsia="zh-CN"/>
      </w:rPr>
      <w:t xml:space="preserve">  </w:t>
    </w:r>
    <w:r>
      <w:rPr>
        <w:rFonts w:hint="eastAsia"/>
        <w:b/>
        <w:bCs/>
        <w:color w:val="auto"/>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879860"/>
    <w:multiLevelType w:val="singleLevel"/>
    <w:tmpl w:val="81879860"/>
    <w:lvl w:ilvl="0" w:tentative="0">
      <w:start w:val="8"/>
      <w:numFmt w:val="decimal"/>
      <w:suff w:val="nothing"/>
      <w:lvlText w:val="%1．"/>
      <w:lvlJc w:val="left"/>
      <w:pPr>
        <w:ind w:left="0" w:firstLine="403"/>
      </w:pPr>
      <w:rPr>
        <w:rFonts w:hint="default"/>
      </w:rPr>
    </w:lvl>
  </w:abstractNum>
  <w:abstractNum w:abstractNumId="1">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2">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3">
    <w:nsid w:val="85460E80"/>
    <w:multiLevelType w:val="singleLevel"/>
    <w:tmpl w:val="85460E80"/>
    <w:lvl w:ilvl="0" w:tentative="0">
      <w:start w:val="1"/>
      <w:numFmt w:val="decimal"/>
      <w:suff w:val="nothing"/>
      <w:lvlText w:val="（%1）"/>
      <w:lvlJc w:val="left"/>
      <w:rPr>
        <w:rFonts w:hint="default"/>
        <w:b w:val="0"/>
        <w:bCs w:val="0"/>
      </w:rPr>
    </w:lvl>
  </w:abstractNum>
  <w:abstractNum w:abstractNumId="4">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5">
    <w:nsid w:val="8906C252"/>
    <w:multiLevelType w:val="singleLevel"/>
    <w:tmpl w:val="8906C252"/>
    <w:lvl w:ilvl="0" w:tentative="0">
      <w:start w:val="1"/>
      <w:numFmt w:val="decimal"/>
      <w:suff w:val="nothing"/>
      <w:lvlText w:val="（%1）"/>
      <w:lvlJc w:val="left"/>
      <w:rPr>
        <w:rFonts w:hint="default"/>
        <w:b w:val="0"/>
        <w:bCs w:val="0"/>
      </w:rPr>
    </w:lvl>
  </w:abstractNum>
  <w:abstractNum w:abstractNumId="6">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7">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8">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9">
    <w:nsid w:val="8D2AB5FD"/>
    <w:multiLevelType w:val="singleLevel"/>
    <w:tmpl w:val="8D2AB5FD"/>
    <w:lvl w:ilvl="0" w:tentative="0">
      <w:start w:val="1"/>
      <w:numFmt w:val="chineseCounting"/>
      <w:suff w:val="nothing"/>
      <w:lvlText w:val="（%1）"/>
      <w:lvlJc w:val="left"/>
      <w:pPr>
        <w:ind w:left="0" w:firstLine="420"/>
      </w:pPr>
      <w:rPr>
        <w:rFonts w:hint="eastAsia"/>
        <w:highlight w:val="none"/>
      </w:rPr>
    </w:lvl>
  </w:abstractNum>
  <w:abstractNum w:abstractNumId="10">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11">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2">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3">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4">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5">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6">
    <w:nsid w:val="AC40BB97"/>
    <w:multiLevelType w:val="singleLevel"/>
    <w:tmpl w:val="AC40BB97"/>
    <w:lvl w:ilvl="0" w:tentative="0">
      <w:start w:val="1"/>
      <w:numFmt w:val="chineseCounting"/>
      <w:suff w:val="nothing"/>
      <w:lvlText w:val="%1、"/>
      <w:lvlJc w:val="left"/>
      <w:rPr>
        <w:rFonts w:hint="eastAsia"/>
      </w:rPr>
    </w:lvl>
  </w:abstractNum>
  <w:abstractNum w:abstractNumId="17">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8">
    <w:nsid w:val="B08226EF"/>
    <w:multiLevelType w:val="singleLevel"/>
    <w:tmpl w:val="B08226EF"/>
    <w:lvl w:ilvl="0" w:tentative="0">
      <w:start w:val="1"/>
      <w:numFmt w:val="chineseCounting"/>
      <w:suff w:val="space"/>
      <w:lvlText w:val="第%1条"/>
      <w:lvlJc w:val="left"/>
      <w:rPr>
        <w:rFonts w:hint="eastAsia"/>
      </w:rPr>
    </w:lvl>
  </w:abstractNum>
  <w:abstractNum w:abstractNumId="19">
    <w:nsid w:val="B74CE87F"/>
    <w:multiLevelType w:val="singleLevel"/>
    <w:tmpl w:val="B74CE87F"/>
    <w:lvl w:ilvl="0" w:tentative="0">
      <w:start w:val="1"/>
      <w:numFmt w:val="decimal"/>
      <w:suff w:val="nothing"/>
      <w:lvlText w:val="%1．"/>
      <w:lvlJc w:val="left"/>
      <w:pPr>
        <w:ind w:left="0" w:firstLine="400"/>
      </w:pPr>
      <w:rPr>
        <w:rFonts w:hint="default"/>
      </w:rPr>
    </w:lvl>
  </w:abstractNum>
  <w:abstractNum w:abstractNumId="20">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21">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22">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3">
    <w:nsid w:val="CEBF199A"/>
    <w:multiLevelType w:val="singleLevel"/>
    <w:tmpl w:val="CEBF199A"/>
    <w:lvl w:ilvl="0" w:tentative="0">
      <w:start w:val="1"/>
      <w:numFmt w:val="chineseCounting"/>
      <w:suff w:val="nothing"/>
      <w:lvlText w:val="（%1）"/>
      <w:lvlJc w:val="left"/>
      <w:pPr>
        <w:ind w:left="0" w:firstLine="420"/>
      </w:pPr>
      <w:rPr>
        <w:rFonts w:hint="eastAsia"/>
      </w:rPr>
    </w:lvl>
  </w:abstractNum>
  <w:abstractNum w:abstractNumId="24">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5">
    <w:nsid w:val="D86C2766"/>
    <w:multiLevelType w:val="singleLevel"/>
    <w:tmpl w:val="D86C2766"/>
    <w:lvl w:ilvl="0" w:tentative="0">
      <w:start w:val="5"/>
      <w:numFmt w:val="decimal"/>
      <w:suff w:val="nothing"/>
      <w:lvlText w:val="%1．"/>
      <w:lvlJc w:val="left"/>
      <w:pPr>
        <w:ind w:left="0" w:firstLine="403"/>
      </w:pPr>
      <w:rPr>
        <w:rFonts w:hint="default"/>
      </w:rPr>
    </w:lvl>
  </w:abstractNum>
  <w:abstractNum w:abstractNumId="26">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7">
    <w:nsid w:val="D8D75090"/>
    <w:multiLevelType w:val="singleLevel"/>
    <w:tmpl w:val="D8D75090"/>
    <w:lvl w:ilvl="0" w:tentative="0">
      <w:start w:val="1"/>
      <w:numFmt w:val="decimal"/>
      <w:suff w:val="nothing"/>
      <w:lvlText w:val="（%1）"/>
      <w:lvlJc w:val="left"/>
      <w:rPr>
        <w:rFonts w:hint="default"/>
        <w:b w:val="0"/>
        <w:bCs w:val="0"/>
      </w:rPr>
    </w:lvl>
  </w:abstractNum>
  <w:abstractNum w:abstractNumId="28">
    <w:nsid w:val="DD2251DF"/>
    <w:multiLevelType w:val="singleLevel"/>
    <w:tmpl w:val="DD2251DF"/>
    <w:lvl w:ilvl="0" w:tentative="0">
      <w:start w:val="1"/>
      <w:numFmt w:val="decimal"/>
      <w:suff w:val="nothing"/>
      <w:lvlText w:val="（%1）"/>
      <w:lvlJc w:val="left"/>
      <w:rPr>
        <w:rFonts w:hint="default"/>
        <w:b w:val="0"/>
        <w:bCs w:val="0"/>
      </w:rPr>
    </w:lvl>
  </w:abstractNum>
  <w:abstractNum w:abstractNumId="29">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30">
    <w:nsid w:val="E70DF796"/>
    <w:multiLevelType w:val="singleLevel"/>
    <w:tmpl w:val="E70DF796"/>
    <w:lvl w:ilvl="0" w:tentative="0">
      <w:start w:val="1"/>
      <w:numFmt w:val="decimal"/>
      <w:suff w:val="nothing"/>
      <w:lvlText w:val="（%1）"/>
      <w:lvlJc w:val="left"/>
    </w:lvl>
  </w:abstractNum>
  <w:abstractNum w:abstractNumId="31">
    <w:nsid w:val="EFF37F09"/>
    <w:multiLevelType w:val="singleLevel"/>
    <w:tmpl w:val="EFF37F09"/>
    <w:lvl w:ilvl="0" w:tentative="0">
      <w:start w:val="1"/>
      <w:numFmt w:val="decimal"/>
      <w:suff w:val="nothing"/>
      <w:lvlText w:val="（%1）"/>
      <w:lvlJc w:val="left"/>
      <w:rPr>
        <w:rFonts w:hint="default"/>
        <w:b w:val="0"/>
        <w:bCs w:val="0"/>
      </w:rPr>
    </w:lvl>
  </w:abstractNum>
  <w:abstractNum w:abstractNumId="32">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34">
    <w:nsid w:val="F44DF26E"/>
    <w:multiLevelType w:val="singleLevel"/>
    <w:tmpl w:val="F44DF26E"/>
    <w:lvl w:ilvl="0" w:tentative="0">
      <w:start w:val="1"/>
      <w:numFmt w:val="decimal"/>
      <w:suff w:val="nothing"/>
      <w:lvlText w:val="%1．"/>
      <w:lvlJc w:val="left"/>
      <w:pPr>
        <w:ind w:left="0" w:firstLine="400"/>
      </w:pPr>
      <w:rPr>
        <w:rFonts w:hint="default"/>
      </w:rPr>
    </w:lvl>
  </w:abstractNum>
  <w:abstractNum w:abstractNumId="35">
    <w:nsid w:val="F574F5B6"/>
    <w:multiLevelType w:val="singleLevel"/>
    <w:tmpl w:val="F574F5B6"/>
    <w:lvl w:ilvl="0" w:tentative="0">
      <w:start w:val="1"/>
      <w:numFmt w:val="decimal"/>
      <w:suff w:val="nothing"/>
      <w:lvlText w:val="（%1）"/>
      <w:lvlJc w:val="left"/>
    </w:lvl>
  </w:abstractNum>
  <w:abstractNum w:abstractNumId="36">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37">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8">
    <w:nsid w:val="084A6179"/>
    <w:multiLevelType w:val="singleLevel"/>
    <w:tmpl w:val="084A6179"/>
    <w:lvl w:ilvl="0" w:tentative="0">
      <w:start w:val="1"/>
      <w:numFmt w:val="decimal"/>
      <w:suff w:val="nothing"/>
      <w:lvlText w:val="（%1）"/>
      <w:lvlJc w:val="left"/>
      <w:rPr>
        <w:rFonts w:hint="default"/>
        <w:highlight w:val="none"/>
      </w:rPr>
    </w:lvl>
  </w:abstractNum>
  <w:abstractNum w:abstractNumId="39">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40">
    <w:nsid w:val="1127010C"/>
    <w:multiLevelType w:val="singleLevel"/>
    <w:tmpl w:val="1127010C"/>
    <w:lvl w:ilvl="0" w:tentative="0">
      <w:start w:val="1"/>
      <w:numFmt w:val="decimal"/>
      <w:suff w:val="nothing"/>
      <w:lvlText w:val="%1．"/>
      <w:lvlJc w:val="left"/>
      <w:pPr>
        <w:ind w:left="0" w:firstLine="400"/>
      </w:pPr>
      <w:rPr>
        <w:rFonts w:hint="default" w:ascii="宋体" w:hAnsi="宋体" w:eastAsia="宋体" w:cs="宋体"/>
      </w:rPr>
    </w:lvl>
  </w:abstractNum>
  <w:abstractNum w:abstractNumId="41">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42">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43">
    <w:nsid w:val="167B0BB4"/>
    <w:multiLevelType w:val="singleLevel"/>
    <w:tmpl w:val="167B0BB4"/>
    <w:lvl w:ilvl="0" w:tentative="0">
      <w:start w:val="1"/>
      <w:numFmt w:val="decimal"/>
      <w:suff w:val="nothing"/>
      <w:lvlText w:val="（%1）"/>
      <w:lvlJc w:val="left"/>
    </w:lvl>
  </w:abstractNum>
  <w:abstractNum w:abstractNumId="44">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highlight w:val="none"/>
      </w:rPr>
    </w:lvl>
  </w:abstractNum>
  <w:abstractNum w:abstractNumId="45">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46">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47">
    <w:nsid w:val="2CB63BE6"/>
    <w:multiLevelType w:val="singleLevel"/>
    <w:tmpl w:val="2CB63BE6"/>
    <w:lvl w:ilvl="0" w:tentative="0">
      <w:start w:val="1"/>
      <w:numFmt w:val="decimal"/>
      <w:suff w:val="nothing"/>
      <w:lvlText w:val="（%1）"/>
      <w:lvlJc w:val="left"/>
      <w:rPr>
        <w:rFonts w:hint="default"/>
        <w:b w:val="0"/>
        <w:bCs w:val="0"/>
      </w:rPr>
    </w:lvl>
  </w:abstractNum>
  <w:abstractNum w:abstractNumId="48">
    <w:nsid w:val="3775F290"/>
    <w:multiLevelType w:val="singleLevel"/>
    <w:tmpl w:val="3775F290"/>
    <w:lvl w:ilvl="0" w:tentative="0">
      <w:start w:val="7"/>
      <w:numFmt w:val="decimal"/>
      <w:suff w:val="nothing"/>
      <w:lvlText w:val="%1．"/>
      <w:lvlJc w:val="left"/>
      <w:pPr>
        <w:ind w:left="0" w:firstLine="403"/>
      </w:pPr>
      <w:rPr>
        <w:rFonts w:hint="default"/>
      </w:rPr>
    </w:lvl>
  </w:abstractNum>
  <w:abstractNum w:abstractNumId="4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5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5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5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5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5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5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5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5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5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59">
    <w:nsid w:val="5BA91325"/>
    <w:multiLevelType w:val="singleLevel"/>
    <w:tmpl w:val="5BA91325"/>
    <w:lvl w:ilvl="0" w:tentative="0">
      <w:start w:val="1"/>
      <w:numFmt w:val="decimal"/>
      <w:suff w:val="nothing"/>
      <w:lvlText w:val="（%1）"/>
      <w:lvlJc w:val="left"/>
    </w:lvl>
  </w:abstractNum>
  <w:abstractNum w:abstractNumId="6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6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6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6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6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6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6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6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6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6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7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7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7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7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74">
    <w:nsid w:val="61CBC088"/>
    <w:multiLevelType w:val="singleLevel"/>
    <w:tmpl w:val="61CBC088"/>
    <w:lvl w:ilvl="0" w:tentative="0">
      <w:start w:val="1"/>
      <w:numFmt w:val="chineseCounting"/>
      <w:suff w:val="nothing"/>
      <w:lvlText w:val="（%1）"/>
      <w:lvlJc w:val="left"/>
      <w:pPr>
        <w:ind w:left="0" w:firstLine="420"/>
      </w:pPr>
      <w:rPr>
        <w:rFonts w:hint="eastAsia"/>
      </w:rPr>
    </w:lvl>
  </w:abstractNum>
  <w:abstractNum w:abstractNumId="7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7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7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7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7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80">
    <w:nsid w:val="61F30F62"/>
    <w:multiLevelType w:val="singleLevel"/>
    <w:tmpl w:val="61F30F62"/>
    <w:lvl w:ilvl="0" w:tentative="0">
      <w:start w:val="1"/>
      <w:numFmt w:val="decimal"/>
      <w:suff w:val="nothing"/>
      <w:lvlText w:val="（%1）"/>
      <w:lvlJc w:val="left"/>
      <w:rPr>
        <w:rFonts w:hint="default"/>
        <w:b w:val="0"/>
        <w:bCs w:val="0"/>
      </w:rPr>
    </w:lvl>
  </w:abstractNum>
  <w:abstractNum w:abstractNumId="8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8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8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6"/>
  </w:num>
  <w:num w:numId="2">
    <w:abstractNumId w:val="1"/>
  </w:num>
  <w:num w:numId="3">
    <w:abstractNumId w:val="52"/>
  </w:num>
  <w:num w:numId="4">
    <w:abstractNumId w:val="45"/>
  </w:num>
  <w:num w:numId="5">
    <w:abstractNumId w:val="23"/>
  </w:num>
  <w:num w:numId="6">
    <w:abstractNumId w:val="82"/>
  </w:num>
  <w:num w:numId="7">
    <w:abstractNumId w:val="39"/>
  </w:num>
  <w:num w:numId="8">
    <w:abstractNumId w:val="83"/>
  </w:num>
  <w:num w:numId="9">
    <w:abstractNumId w:val="57"/>
  </w:num>
  <w:num w:numId="10">
    <w:abstractNumId w:val="54"/>
  </w:num>
  <w:num w:numId="11">
    <w:abstractNumId w:val="36"/>
  </w:num>
  <w:num w:numId="12">
    <w:abstractNumId w:val="33"/>
  </w:num>
  <w:num w:numId="13">
    <w:abstractNumId w:val="41"/>
  </w:num>
  <w:num w:numId="14">
    <w:abstractNumId w:val="32"/>
  </w:num>
  <w:num w:numId="15">
    <w:abstractNumId w:val="24"/>
  </w:num>
  <w:num w:numId="16">
    <w:abstractNumId w:val="13"/>
  </w:num>
  <w:num w:numId="17">
    <w:abstractNumId w:val="20"/>
  </w:num>
  <w:num w:numId="18">
    <w:abstractNumId w:val="10"/>
  </w:num>
  <w:num w:numId="19">
    <w:abstractNumId w:val="11"/>
  </w:num>
  <w:num w:numId="20">
    <w:abstractNumId w:val="9"/>
  </w:num>
  <w:num w:numId="21">
    <w:abstractNumId w:val="40"/>
  </w:num>
  <w:num w:numId="22">
    <w:abstractNumId w:val="7"/>
  </w:num>
  <w:num w:numId="23">
    <w:abstractNumId w:val="2"/>
  </w:num>
  <w:num w:numId="24">
    <w:abstractNumId w:val="53"/>
  </w:num>
  <w:num w:numId="25">
    <w:abstractNumId w:val="35"/>
  </w:num>
  <w:num w:numId="26">
    <w:abstractNumId w:val="59"/>
  </w:num>
  <w:num w:numId="27">
    <w:abstractNumId w:val="22"/>
  </w:num>
  <w:num w:numId="28">
    <w:abstractNumId w:val="46"/>
  </w:num>
  <w:num w:numId="29">
    <w:abstractNumId w:val="26"/>
  </w:num>
  <w:num w:numId="30">
    <w:abstractNumId w:val="8"/>
  </w:num>
  <w:num w:numId="31">
    <w:abstractNumId w:val="56"/>
  </w:num>
  <w:num w:numId="32">
    <w:abstractNumId w:val="6"/>
  </w:num>
  <w:num w:numId="33">
    <w:abstractNumId w:val="38"/>
  </w:num>
  <w:num w:numId="34">
    <w:abstractNumId w:val="44"/>
  </w:num>
  <w:num w:numId="35">
    <w:abstractNumId w:val="81"/>
  </w:num>
  <w:num w:numId="36">
    <w:abstractNumId w:val="37"/>
  </w:num>
  <w:num w:numId="37">
    <w:abstractNumId w:val="25"/>
  </w:num>
  <w:num w:numId="38">
    <w:abstractNumId w:val="48"/>
  </w:num>
  <w:num w:numId="39">
    <w:abstractNumId w:val="0"/>
  </w:num>
  <w:num w:numId="40">
    <w:abstractNumId w:val="28"/>
  </w:num>
  <w:num w:numId="41">
    <w:abstractNumId w:val="51"/>
  </w:num>
  <w:num w:numId="42">
    <w:abstractNumId w:val="4"/>
  </w:num>
  <w:num w:numId="43">
    <w:abstractNumId w:val="29"/>
  </w:num>
  <w:num w:numId="44">
    <w:abstractNumId w:val="19"/>
  </w:num>
  <w:num w:numId="45">
    <w:abstractNumId w:val="55"/>
  </w:num>
  <w:num w:numId="46">
    <w:abstractNumId w:val="42"/>
  </w:num>
  <w:num w:numId="47">
    <w:abstractNumId w:val="21"/>
  </w:num>
  <w:num w:numId="48">
    <w:abstractNumId w:val="34"/>
  </w:num>
  <w:num w:numId="49">
    <w:abstractNumId w:val="30"/>
  </w:num>
  <w:num w:numId="50">
    <w:abstractNumId w:val="31"/>
  </w:num>
  <w:num w:numId="51">
    <w:abstractNumId w:val="80"/>
  </w:num>
  <w:num w:numId="52">
    <w:abstractNumId w:val="47"/>
  </w:num>
  <w:num w:numId="53">
    <w:abstractNumId w:val="3"/>
  </w:num>
  <w:num w:numId="54">
    <w:abstractNumId w:val="58"/>
  </w:num>
  <w:num w:numId="55">
    <w:abstractNumId w:val="14"/>
  </w:num>
  <w:num w:numId="56">
    <w:abstractNumId w:val="12"/>
  </w:num>
  <w:num w:numId="57">
    <w:abstractNumId w:val="15"/>
  </w:num>
  <w:num w:numId="58">
    <w:abstractNumId w:val="43"/>
  </w:num>
  <w:num w:numId="59">
    <w:abstractNumId w:val="27"/>
  </w:num>
  <w:num w:numId="60">
    <w:abstractNumId w:val="5"/>
  </w:num>
  <w:num w:numId="61">
    <w:abstractNumId w:val="50"/>
  </w:num>
  <w:num w:numId="62">
    <w:abstractNumId w:val="67"/>
  </w:num>
  <w:num w:numId="63">
    <w:abstractNumId w:val="66"/>
  </w:num>
  <w:num w:numId="64">
    <w:abstractNumId w:val="68"/>
  </w:num>
  <w:num w:numId="65">
    <w:abstractNumId w:val="69"/>
  </w:num>
  <w:num w:numId="66">
    <w:abstractNumId w:val="70"/>
  </w:num>
  <w:num w:numId="67">
    <w:abstractNumId w:val="71"/>
  </w:num>
  <w:num w:numId="68">
    <w:abstractNumId w:val="72"/>
  </w:num>
  <w:num w:numId="69">
    <w:abstractNumId w:val="73"/>
  </w:num>
  <w:num w:numId="70">
    <w:abstractNumId w:val="49"/>
  </w:num>
  <w:num w:numId="71">
    <w:abstractNumId w:val="18"/>
  </w:num>
  <w:num w:numId="72">
    <w:abstractNumId w:val="60"/>
  </w:num>
  <w:num w:numId="73">
    <w:abstractNumId w:val="61"/>
  </w:num>
  <w:num w:numId="74">
    <w:abstractNumId w:val="62"/>
  </w:num>
  <w:num w:numId="75">
    <w:abstractNumId w:val="63"/>
  </w:num>
  <w:num w:numId="76">
    <w:abstractNumId w:val="64"/>
  </w:num>
  <w:num w:numId="77">
    <w:abstractNumId w:val="65"/>
  </w:num>
  <w:num w:numId="78">
    <w:abstractNumId w:val="74"/>
  </w:num>
  <w:num w:numId="79">
    <w:abstractNumId w:val="75"/>
  </w:num>
  <w:num w:numId="80">
    <w:abstractNumId w:val="17"/>
  </w:num>
  <w:num w:numId="81">
    <w:abstractNumId w:val="76"/>
  </w:num>
  <w:num w:numId="82">
    <w:abstractNumId w:val="77"/>
  </w:num>
  <w:num w:numId="83">
    <w:abstractNumId w:val="78"/>
  </w:num>
  <w:num w:numId="84">
    <w:abstractNumId w:val="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jOWZhYjNhMDcwZTUwMzk1N2Q1ZTljMmJlZmYyNzcifQ=="/>
  </w:docVars>
  <w:rsids>
    <w:rsidRoot w:val="00172A27"/>
    <w:rsid w:val="004A3A51"/>
    <w:rsid w:val="006514C4"/>
    <w:rsid w:val="01364432"/>
    <w:rsid w:val="01523B8E"/>
    <w:rsid w:val="01D8103B"/>
    <w:rsid w:val="01E60817"/>
    <w:rsid w:val="048D7DCA"/>
    <w:rsid w:val="056351CB"/>
    <w:rsid w:val="05E05E4D"/>
    <w:rsid w:val="06420CFA"/>
    <w:rsid w:val="06503B59"/>
    <w:rsid w:val="06B41B03"/>
    <w:rsid w:val="0752555A"/>
    <w:rsid w:val="07E45984"/>
    <w:rsid w:val="07EA622A"/>
    <w:rsid w:val="0828699A"/>
    <w:rsid w:val="08A1555E"/>
    <w:rsid w:val="092751AA"/>
    <w:rsid w:val="097E3F67"/>
    <w:rsid w:val="09C935B6"/>
    <w:rsid w:val="0A1347F5"/>
    <w:rsid w:val="0A356725"/>
    <w:rsid w:val="0B23316E"/>
    <w:rsid w:val="0B8702FD"/>
    <w:rsid w:val="0B8E27E3"/>
    <w:rsid w:val="0BA57DD5"/>
    <w:rsid w:val="0BF71AE2"/>
    <w:rsid w:val="0CA6603D"/>
    <w:rsid w:val="0CB77C8E"/>
    <w:rsid w:val="0CBF33B1"/>
    <w:rsid w:val="0CE71B9E"/>
    <w:rsid w:val="0D0B1B00"/>
    <w:rsid w:val="0DFD2C7C"/>
    <w:rsid w:val="0E4A4B6F"/>
    <w:rsid w:val="0E9832B7"/>
    <w:rsid w:val="0EF65480"/>
    <w:rsid w:val="0F6C2854"/>
    <w:rsid w:val="0F8A2CEB"/>
    <w:rsid w:val="100203D3"/>
    <w:rsid w:val="103E6557"/>
    <w:rsid w:val="10E7087B"/>
    <w:rsid w:val="11133933"/>
    <w:rsid w:val="11A27183"/>
    <w:rsid w:val="11BA058F"/>
    <w:rsid w:val="12081858"/>
    <w:rsid w:val="120E16FE"/>
    <w:rsid w:val="12B62B3B"/>
    <w:rsid w:val="12D90F42"/>
    <w:rsid w:val="13031153"/>
    <w:rsid w:val="13181417"/>
    <w:rsid w:val="1370341C"/>
    <w:rsid w:val="13953152"/>
    <w:rsid w:val="13AE5996"/>
    <w:rsid w:val="1418179C"/>
    <w:rsid w:val="14C57FED"/>
    <w:rsid w:val="150C5665"/>
    <w:rsid w:val="15992F9A"/>
    <w:rsid w:val="15C56302"/>
    <w:rsid w:val="160940BB"/>
    <w:rsid w:val="1659752C"/>
    <w:rsid w:val="16CA0C22"/>
    <w:rsid w:val="16E43A7F"/>
    <w:rsid w:val="17864B39"/>
    <w:rsid w:val="17FA3952"/>
    <w:rsid w:val="185A3DA1"/>
    <w:rsid w:val="189E168F"/>
    <w:rsid w:val="198C4B50"/>
    <w:rsid w:val="19F13F4F"/>
    <w:rsid w:val="1A102675"/>
    <w:rsid w:val="1AD33A8F"/>
    <w:rsid w:val="1B280245"/>
    <w:rsid w:val="1B780F72"/>
    <w:rsid w:val="1BBE4697"/>
    <w:rsid w:val="1BC22C82"/>
    <w:rsid w:val="1C8E339B"/>
    <w:rsid w:val="1CDC4E2A"/>
    <w:rsid w:val="1CE35114"/>
    <w:rsid w:val="1D1B5B71"/>
    <w:rsid w:val="1D1B6540"/>
    <w:rsid w:val="1D5459CA"/>
    <w:rsid w:val="1D552DD9"/>
    <w:rsid w:val="1DAB6D83"/>
    <w:rsid w:val="1E3173A3"/>
    <w:rsid w:val="1F0F5A19"/>
    <w:rsid w:val="1F1D6E1F"/>
    <w:rsid w:val="1F3E7F7D"/>
    <w:rsid w:val="1F51312D"/>
    <w:rsid w:val="1FC9553A"/>
    <w:rsid w:val="204D3B12"/>
    <w:rsid w:val="20593F35"/>
    <w:rsid w:val="205A2AB3"/>
    <w:rsid w:val="20B6224D"/>
    <w:rsid w:val="21025026"/>
    <w:rsid w:val="227045E4"/>
    <w:rsid w:val="22A04AF7"/>
    <w:rsid w:val="22C6085E"/>
    <w:rsid w:val="22D3594B"/>
    <w:rsid w:val="22DA7182"/>
    <w:rsid w:val="22F12819"/>
    <w:rsid w:val="233F0924"/>
    <w:rsid w:val="23451A70"/>
    <w:rsid w:val="23753F06"/>
    <w:rsid w:val="237D4A1C"/>
    <w:rsid w:val="238E1AAE"/>
    <w:rsid w:val="23CF6CCF"/>
    <w:rsid w:val="2483647E"/>
    <w:rsid w:val="256F076F"/>
    <w:rsid w:val="25DE5381"/>
    <w:rsid w:val="26820AF7"/>
    <w:rsid w:val="273A2105"/>
    <w:rsid w:val="27A236CD"/>
    <w:rsid w:val="281432FA"/>
    <w:rsid w:val="29BA058F"/>
    <w:rsid w:val="29BB33A7"/>
    <w:rsid w:val="2A1B5D68"/>
    <w:rsid w:val="2A5975B6"/>
    <w:rsid w:val="2A991D32"/>
    <w:rsid w:val="2AB92324"/>
    <w:rsid w:val="2AC3651E"/>
    <w:rsid w:val="2AD6555A"/>
    <w:rsid w:val="2BD46A9C"/>
    <w:rsid w:val="2C1B1E9D"/>
    <w:rsid w:val="2C28643F"/>
    <w:rsid w:val="2CAB68C5"/>
    <w:rsid w:val="2D303B49"/>
    <w:rsid w:val="2DFA6966"/>
    <w:rsid w:val="2E367596"/>
    <w:rsid w:val="2E910D38"/>
    <w:rsid w:val="2EBC6D03"/>
    <w:rsid w:val="2F3A7B82"/>
    <w:rsid w:val="2FD32A37"/>
    <w:rsid w:val="302C1AF4"/>
    <w:rsid w:val="30551FFC"/>
    <w:rsid w:val="30690F5C"/>
    <w:rsid w:val="30D31961"/>
    <w:rsid w:val="30FD36E3"/>
    <w:rsid w:val="311F702A"/>
    <w:rsid w:val="315766C8"/>
    <w:rsid w:val="3177134F"/>
    <w:rsid w:val="31964061"/>
    <w:rsid w:val="31A82883"/>
    <w:rsid w:val="320E3E15"/>
    <w:rsid w:val="32770B1E"/>
    <w:rsid w:val="32821910"/>
    <w:rsid w:val="329743A8"/>
    <w:rsid w:val="32C937E9"/>
    <w:rsid w:val="333B487F"/>
    <w:rsid w:val="33833CD5"/>
    <w:rsid w:val="339502CA"/>
    <w:rsid w:val="342F66F0"/>
    <w:rsid w:val="345B62A5"/>
    <w:rsid w:val="3480359E"/>
    <w:rsid w:val="34B53633"/>
    <w:rsid w:val="34BE4ED5"/>
    <w:rsid w:val="353A76E3"/>
    <w:rsid w:val="35476F5E"/>
    <w:rsid w:val="35745B9A"/>
    <w:rsid w:val="35862DD5"/>
    <w:rsid w:val="36631FD8"/>
    <w:rsid w:val="36E72D9B"/>
    <w:rsid w:val="371103D7"/>
    <w:rsid w:val="374829BA"/>
    <w:rsid w:val="37CA172C"/>
    <w:rsid w:val="38224FD0"/>
    <w:rsid w:val="385505E4"/>
    <w:rsid w:val="39094FF7"/>
    <w:rsid w:val="39461E8D"/>
    <w:rsid w:val="3A3E2041"/>
    <w:rsid w:val="3B077108"/>
    <w:rsid w:val="3B131EF6"/>
    <w:rsid w:val="3B490D86"/>
    <w:rsid w:val="3B8D6BA5"/>
    <w:rsid w:val="3C2F2290"/>
    <w:rsid w:val="3C635E14"/>
    <w:rsid w:val="3D6B43DA"/>
    <w:rsid w:val="3EAD1B36"/>
    <w:rsid w:val="3EDB57BA"/>
    <w:rsid w:val="3F056B9E"/>
    <w:rsid w:val="3F354A62"/>
    <w:rsid w:val="406370BC"/>
    <w:rsid w:val="40FB7670"/>
    <w:rsid w:val="41B30AFD"/>
    <w:rsid w:val="423C06E2"/>
    <w:rsid w:val="42815397"/>
    <w:rsid w:val="42C94634"/>
    <w:rsid w:val="4309649B"/>
    <w:rsid w:val="4356095A"/>
    <w:rsid w:val="4393063F"/>
    <w:rsid w:val="43EE5E80"/>
    <w:rsid w:val="450D2DC0"/>
    <w:rsid w:val="45540446"/>
    <w:rsid w:val="45BB5620"/>
    <w:rsid w:val="45E71A33"/>
    <w:rsid w:val="45F127ED"/>
    <w:rsid w:val="4674141B"/>
    <w:rsid w:val="46CD66A0"/>
    <w:rsid w:val="46F82DED"/>
    <w:rsid w:val="472803B7"/>
    <w:rsid w:val="47850646"/>
    <w:rsid w:val="481B4E7B"/>
    <w:rsid w:val="486F656B"/>
    <w:rsid w:val="487D0651"/>
    <w:rsid w:val="488B59A4"/>
    <w:rsid w:val="48962E2C"/>
    <w:rsid w:val="48F83E16"/>
    <w:rsid w:val="494502E1"/>
    <w:rsid w:val="49ED3C35"/>
    <w:rsid w:val="4A405BF6"/>
    <w:rsid w:val="4A7F0ADF"/>
    <w:rsid w:val="4B0D3113"/>
    <w:rsid w:val="4B2F56F4"/>
    <w:rsid w:val="4B907F12"/>
    <w:rsid w:val="4C29108D"/>
    <w:rsid w:val="4C6B0DDA"/>
    <w:rsid w:val="4C6E1306"/>
    <w:rsid w:val="4DDA4860"/>
    <w:rsid w:val="4E186164"/>
    <w:rsid w:val="4E2F1033"/>
    <w:rsid w:val="4E8274B0"/>
    <w:rsid w:val="4EFC1B31"/>
    <w:rsid w:val="4FF363B3"/>
    <w:rsid w:val="50B73634"/>
    <w:rsid w:val="51504FE6"/>
    <w:rsid w:val="52C66301"/>
    <w:rsid w:val="540A7D17"/>
    <w:rsid w:val="54E91D9C"/>
    <w:rsid w:val="553A1699"/>
    <w:rsid w:val="5540500D"/>
    <w:rsid w:val="55A92CF5"/>
    <w:rsid w:val="55E056D8"/>
    <w:rsid w:val="562F08DB"/>
    <w:rsid w:val="56D52E08"/>
    <w:rsid w:val="57252C25"/>
    <w:rsid w:val="57B94BA2"/>
    <w:rsid w:val="57BB6218"/>
    <w:rsid w:val="57FF3AAA"/>
    <w:rsid w:val="58DD2EEE"/>
    <w:rsid w:val="58E96C7A"/>
    <w:rsid w:val="593C6C2A"/>
    <w:rsid w:val="59573977"/>
    <w:rsid w:val="59AD3C67"/>
    <w:rsid w:val="59F95365"/>
    <w:rsid w:val="5AF7537D"/>
    <w:rsid w:val="5B0D630F"/>
    <w:rsid w:val="5B1367B9"/>
    <w:rsid w:val="5B6B608E"/>
    <w:rsid w:val="5D160516"/>
    <w:rsid w:val="5DA13F4A"/>
    <w:rsid w:val="5DB61BFF"/>
    <w:rsid w:val="5DEF454B"/>
    <w:rsid w:val="5DF26B07"/>
    <w:rsid w:val="5E35342E"/>
    <w:rsid w:val="5E5A6C63"/>
    <w:rsid w:val="5F1116E8"/>
    <w:rsid w:val="5F3C6712"/>
    <w:rsid w:val="5F4B58F3"/>
    <w:rsid w:val="606C7275"/>
    <w:rsid w:val="60A47029"/>
    <w:rsid w:val="60AB2000"/>
    <w:rsid w:val="60AD3AC2"/>
    <w:rsid w:val="61D85325"/>
    <w:rsid w:val="62860AAA"/>
    <w:rsid w:val="62885FA4"/>
    <w:rsid w:val="629D5796"/>
    <w:rsid w:val="630E7FE6"/>
    <w:rsid w:val="64954D64"/>
    <w:rsid w:val="66FF60CC"/>
    <w:rsid w:val="671E2162"/>
    <w:rsid w:val="67A02E05"/>
    <w:rsid w:val="67BE72F0"/>
    <w:rsid w:val="68D8721E"/>
    <w:rsid w:val="68E25A14"/>
    <w:rsid w:val="691056DB"/>
    <w:rsid w:val="695A49BA"/>
    <w:rsid w:val="69BF6670"/>
    <w:rsid w:val="6AF535D5"/>
    <w:rsid w:val="6B610D05"/>
    <w:rsid w:val="6BAC21D5"/>
    <w:rsid w:val="6C184007"/>
    <w:rsid w:val="6CED1CB3"/>
    <w:rsid w:val="6D3B42C3"/>
    <w:rsid w:val="6D62391E"/>
    <w:rsid w:val="6D865277"/>
    <w:rsid w:val="6DF71DF2"/>
    <w:rsid w:val="6E0B5972"/>
    <w:rsid w:val="6E51251F"/>
    <w:rsid w:val="6E7E575F"/>
    <w:rsid w:val="6EF15941"/>
    <w:rsid w:val="6EFC3973"/>
    <w:rsid w:val="6F9921A1"/>
    <w:rsid w:val="71B02467"/>
    <w:rsid w:val="727E507A"/>
    <w:rsid w:val="730C5849"/>
    <w:rsid w:val="73396EC2"/>
    <w:rsid w:val="73407EBD"/>
    <w:rsid w:val="73835D66"/>
    <w:rsid w:val="738D1DD9"/>
    <w:rsid w:val="73EF4563"/>
    <w:rsid w:val="74175679"/>
    <w:rsid w:val="744124AA"/>
    <w:rsid w:val="745A6083"/>
    <w:rsid w:val="74664F47"/>
    <w:rsid w:val="75313062"/>
    <w:rsid w:val="75977087"/>
    <w:rsid w:val="75A871AE"/>
    <w:rsid w:val="77523D71"/>
    <w:rsid w:val="77E0572E"/>
    <w:rsid w:val="78EF4372"/>
    <w:rsid w:val="79385012"/>
    <w:rsid w:val="79642F4A"/>
    <w:rsid w:val="79771B00"/>
    <w:rsid w:val="798F6426"/>
    <w:rsid w:val="7A6D7156"/>
    <w:rsid w:val="7A917304"/>
    <w:rsid w:val="7ACA272A"/>
    <w:rsid w:val="7AE86DBD"/>
    <w:rsid w:val="7B996067"/>
    <w:rsid w:val="7C1E0CFC"/>
    <w:rsid w:val="7CBF6012"/>
    <w:rsid w:val="7D7373E8"/>
    <w:rsid w:val="7D7862F0"/>
    <w:rsid w:val="7DB00FDC"/>
    <w:rsid w:val="7DC671DD"/>
    <w:rsid w:val="7DD1709E"/>
    <w:rsid w:val="7DD5513F"/>
    <w:rsid w:val="7E6F339A"/>
    <w:rsid w:val="7E8655E6"/>
    <w:rsid w:val="7EAC2F5C"/>
    <w:rsid w:val="7F590A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4"/>
      <w:szCs w:val="24"/>
      <w:lang w:val="en-US" w:eastAsia="zh-CN" w:bidi="ar-SA"/>
    </w:rPr>
  </w:style>
  <w:style w:type="paragraph" w:styleId="2">
    <w:name w:val="heading 1"/>
    <w:basedOn w:val="1"/>
    <w:next w:val="1"/>
    <w:link w:val="24"/>
    <w:qFormat/>
    <w:uiPriority w:val="0"/>
    <w:pPr>
      <w:keepNext/>
      <w:keepLines/>
      <w:spacing w:before="100" w:beforeLines="0" w:beforeAutospacing="0" w:after="90" w:afterLines="0" w:afterAutospacing="0" w:line="240" w:lineRule="auto"/>
      <w:jc w:val="center"/>
      <w:outlineLvl w:val="0"/>
    </w:pPr>
    <w:rPr>
      <w:rFonts w:eastAsia="宋体"/>
      <w:b/>
      <w:kern w:val="44"/>
      <w:sz w:val="44"/>
    </w:rPr>
  </w:style>
  <w:style w:type="paragraph" w:styleId="3">
    <w:name w:val="heading 2"/>
    <w:basedOn w:val="1"/>
    <w:next w:val="1"/>
    <w:link w:val="22"/>
    <w:unhideWhenUsed/>
    <w:qFormat/>
    <w:uiPriority w:val="0"/>
    <w:pPr>
      <w:keepNext/>
      <w:keepLines/>
      <w:spacing w:before="20" w:beforeLines="0" w:beforeAutospacing="0" w:after="20" w:afterLines="0" w:afterAutospacing="0" w:line="240" w:lineRule="auto"/>
      <w:outlineLvl w:val="1"/>
    </w:pPr>
    <w:rPr>
      <w:rFonts w:ascii="Arial" w:hAnsi="Arial" w:eastAsia="宋体"/>
      <w:b/>
      <w:sz w:val="24"/>
    </w:rPr>
  </w:style>
  <w:style w:type="paragraph" w:styleId="4">
    <w:name w:val="heading 3"/>
    <w:basedOn w:val="1"/>
    <w:next w:val="1"/>
    <w:link w:val="21"/>
    <w:unhideWhenUsed/>
    <w:qFormat/>
    <w:uiPriority w:val="0"/>
    <w:pPr>
      <w:keepNext/>
      <w:keepLines/>
      <w:spacing w:before="20" w:beforeLines="0" w:beforeAutospacing="0" w:after="20" w:afterLines="0" w:afterAutospacing="0" w:line="360" w:lineRule="auto"/>
      <w:outlineLvl w:val="2"/>
    </w:pPr>
    <w:rPr>
      <w:rFonts w:hAnsi="Calibri" w:eastAsia="宋体"/>
      <w:b/>
      <w:sz w:val="24"/>
    </w:rPr>
  </w:style>
  <w:style w:type="character" w:default="1" w:styleId="13">
    <w:name w:val="Default Paragraph Font"/>
    <w:semiHidden/>
    <w:qFormat/>
    <w:uiPriority w:val="0"/>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5">
    <w:name w:val="annotation text"/>
    <w:basedOn w:val="1"/>
    <w:link w:val="20"/>
    <w:qFormat/>
    <w:uiPriority w:val="0"/>
    <w:pPr>
      <w:jc w:val="left"/>
    </w:p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rPr>
      <w:sz w:val="24"/>
    </w:rPr>
  </w:style>
  <w:style w:type="paragraph" w:styleId="10">
    <w:name w:val="annotation subject"/>
    <w:basedOn w:val="5"/>
    <w:next w:val="5"/>
    <w:link w:val="23"/>
    <w:qFormat/>
    <w:uiPriority w:val="0"/>
    <w:rPr>
      <w:b/>
      <w:bCs/>
    </w:rPr>
  </w:style>
  <w:style w:type="table" w:styleId="12">
    <w:name w:val="Table Grid"/>
    <w:basedOn w:val="11"/>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Hyperlink"/>
    <w:qFormat/>
    <w:uiPriority w:val="0"/>
    <w:rPr>
      <w:color w:val="0000FF"/>
      <w:u w:val="single"/>
    </w:rPr>
  </w:style>
  <w:style w:type="character" w:styleId="15">
    <w:name w:val="annotation reference"/>
    <w:qFormat/>
    <w:uiPriority w:val="0"/>
    <w:rPr>
      <w:sz w:val="21"/>
      <w:szCs w:val="21"/>
    </w:rPr>
  </w:style>
  <w:style w:type="paragraph" w:customStyle="1" w:styleId="16">
    <w:name w:val="样式1"/>
    <w:basedOn w:val="1"/>
    <w:next w:val="1"/>
    <w:qFormat/>
    <w:uiPriority w:val="0"/>
    <w:pPr>
      <w:keepNext/>
      <w:keepLines/>
      <w:spacing w:before="340" w:beforeLines="0" w:after="330" w:afterLines="0" w:line="576" w:lineRule="auto"/>
      <w:outlineLvl w:val="0"/>
    </w:pPr>
    <w:rPr>
      <w:rFonts w:hint="eastAsia"/>
      <w:b/>
      <w:kern w:val="44"/>
      <w:sz w:val="44"/>
    </w:r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8">
    <w:name w:val="List Paragraph"/>
    <w:basedOn w:val="1"/>
    <w:unhideWhenUsed/>
    <w:qFormat/>
    <w:uiPriority w:val="99"/>
    <w:pPr>
      <w:ind w:firstLine="420" w:firstLineChars="200"/>
    </w:pPr>
  </w:style>
  <w:style w:type="character" w:customStyle="1" w:styleId="19">
    <w:name w:val="批注框文本 Char"/>
    <w:link w:val="6"/>
    <w:qFormat/>
    <w:uiPriority w:val="0"/>
    <w:rPr>
      <w:rFonts w:ascii="Calibri" w:hAnsi="Calibri" w:cs="黑体"/>
      <w:kern w:val="2"/>
      <w:sz w:val="18"/>
      <w:szCs w:val="18"/>
    </w:rPr>
  </w:style>
  <w:style w:type="character" w:customStyle="1" w:styleId="20">
    <w:name w:val="批注文字 Char"/>
    <w:link w:val="5"/>
    <w:qFormat/>
    <w:uiPriority w:val="0"/>
    <w:rPr>
      <w:rFonts w:ascii="Calibri" w:hAnsi="Calibri" w:cs="黑体"/>
      <w:kern w:val="2"/>
      <w:sz w:val="21"/>
      <w:szCs w:val="24"/>
    </w:rPr>
  </w:style>
  <w:style w:type="character" w:customStyle="1" w:styleId="21">
    <w:name w:val="标题 3 Char"/>
    <w:link w:val="4"/>
    <w:qFormat/>
    <w:uiPriority w:val="0"/>
    <w:rPr>
      <w:rFonts w:hAnsi="Calibri" w:eastAsia="宋体"/>
      <w:b/>
      <w:sz w:val="24"/>
    </w:rPr>
  </w:style>
  <w:style w:type="character" w:customStyle="1" w:styleId="22">
    <w:name w:val="标题 2 Char"/>
    <w:link w:val="3"/>
    <w:qFormat/>
    <w:uiPriority w:val="0"/>
    <w:rPr>
      <w:rFonts w:ascii="Arial" w:hAnsi="Arial" w:eastAsia="宋体"/>
      <w:b/>
      <w:sz w:val="24"/>
    </w:rPr>
  </w:style>
  <w:style w:type="character" w:customStyle="1" w:styleId="23">
    <w:name w:val="批注主题 Char"/>
    <w:link w:val="10"/>
    <w:qFormat/>
    <w:uiPriority w:val="0"/>
    <w:rPr>
      <w:rFonts w:ascii="Calibri" w:hAnsi="Calibri" w:cs="黑体"/>
      <w:b/>
      <w:bCs/>
      <w:kern w:val="2"/>
      <w:sz w:val="21"/>
      <w:szCs w:val="24"/>
    </w:rPr>
  </w:style>
  <w:style w:type="character" w:customStyle="1" w:styleId="24">
    <w:name w:val="标题 1 Char"/>
    <w:link w:val="2"/>
    <w:qFormat/>
    <w:uiPriority w:val="0"/>
    <w:rPr>
      <w:rFonts w:eastAsia="宋体"/>
      <w:b/>
      <w:kern w:val="44"/>
      <w:sz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4427</Words>
  <Characters>25236</Characters>
  <Lines>210</Lines>
  <Paragraphs>59</Paragraphs>
  <TotalTime>0</TotalTime>
  <ScaleCrop>false</ScaleCrop>
  <LinksUpToDate>false</LinksUpToDate>
  <CharactersWithSpaces>29604</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hccb</cp:lastModifiedBy>
  <dcterms:modified xsi:type="dcterms:W3CDTF">2025-06-23T08:34:55Z</dcterms:modified>
  <dc:title>杭银理财幸福99XXXX理财计划合同</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06A49D61929F4201B4ADB8DA4C945300</vt:lpwstr>
  </property>
</Properties>
</file>